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FF3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Autospacing="0"/>
        <w:ind w:right="0" w:rightChars="0"/>
        <w:jc w:val="both"/>
        <w:textAlignment w:val="auto"/>
        <w:rPr>
          <w:rFonts w:hint="eastAsia" w:ascii="方正黑体_GBK" w:hAnsi="方正黑体_GBK" w:eastAsia="方正黑体_GBK" w:cs="方正黑体_GBK"/>
          <w:kern w:val="0"/>
          <w:sz w:val="32"/>
          <w:szCs w:val="32"/>
          <w:lang w:val="en-US" w:eastAsia="zh-CN" w:bidi="ar"/>
        </w:rPr>
      </w:pPr>
      <w:bookmarkStart w:id="0" w:name="_GoBack"/>
      <w:r>
        <w:rPr>
          <w:rFonts w:hint="eastAsia" w:ascii="方正黑体_GBK" w:hAnsi="方正黑体_GBK" w:eastAsia="方正黑体_GBK" w:cs="方正黑体_GBK"/>
          <w:spacing w:val="0"/>
          <w:kern w:val="0"/>
          <w:sz w:val="32"/>
          <w:szCs w:val="32"/>
          <w:lang w:val="en-US" w:eastAsia="zh-CN" w:bidi="ar"/>
        </w:rPr>
        <w:t>附件：</w:t>
      </w:r>
      <w:r>
        <w:rPr>
          <w:rFonts w:hint="eastAsia" w:ascii="方正黑体_GBK" w:hAnsi="方正黑体_GBK" w:eastAsia="方正黑体_GBK" w:cs="方正黑体_GBK"/>
          <w:kern w:val="0"/>
          <w:sz w:val="32"/>
          <w:szCs w:val="32"/>
          <w:lang w:val="en-US" w:eastAsia="zh-CN" w:bidi="ar"/>
        </w:rPr>
        <w:t>评分标准</w:t>
      </w:r>
    </w:p>
    <w:bookmarkEnd w:id="0"/>
    <w:p w14:paraId="188877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Autospacing="0"/>
        <w:ind w:right="0" w:rightChars="0"/>
        <w:jc w:val="both"/>
        <w:textAlignment w:val="auto"/>
        <w:rPr>
          <w:rFonts w:hint="eastAsia" w:ascii="方正黑体_GBK" w:hAnsi="方正黑体_GBK" w:eastAsia="方正黑体_GBK" w:cs="方正黑体_GBK"/>
          <w:kern w:val="0"/>
          <w:sz w:val="32"/>
          <w:szCs w:val="32"/>
          <w:lang w:val="en-US" w:eastAsia="zh-CN" w:bidi="ar"/>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9"/>
        <w:gridCol w:w="827"/>
        <w:gridCol w:w="5636"/>
        <w:gridCol w:w="1247"/>
      </w:tblGrid>
      <w:tr w14:paraId="1530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trPr>
        <w:tc>
          <w:tcPr>
            <w:tcW w:w="474" w:type="pct"/>
            <w:tcBorders>
              <w:top w:val="single" w:color="auto" w:sz="8" w:space="0"/>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5C69409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000000"/>
                <w:sz w:val="25"/>
                <w:szCs w:val="25"/>
              </w:rPr>
              <w:t>序号</w:t>
            </w:r>
          </w:p>
        </w:tc>
        <w:tc>
          <w:tcPr>
            <w:tcW w:w="485"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center"/>
          </w:tcPr>
          <w:p w14:paraId="69554CD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000000"/>
                <w:sz w:val="25"/>
                <w:szCs w:val="25"/>
              </w:rPr>
              <w:t>评分项目</w:t>
            </w:r>
          </w:p>
        </w:tc>
        <w:tc>
          <w:tcPr>
            <w:tcW w:w="3307"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center"/>
          </w:tcPr>
          <w:p w14:paraId="1B9671D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000000"/>
                <w:sz w:val="25"/>
                <w:szCs w:val="25"/>
              </w:rPr>
              <w:t>评标标准</w:t>
            </w:r>
          </w:p>
        </w:tc>
        <w:tc>
          <w:tcPr>
            <w:tcW w:w="731" w:type="pct"/>
            <w:tcBorders>
              <w:top w:val="single" w:color="auto" w:sz="8" w:space="0"/>
              <w:left w:val="nil"/>
              <w:bottom w:val="single" w:color="auto" w:sz="8" w:space="0"/>
              <w:right w:val="single" w:color="auto" w:sz="8" w:space="0"/>
            </w:tcBorders>
            <w:noWrap w:val="0"/>
            <w:tcMar>
              <w:top w:w="28" w:type="dxa"/>
              <w:left w:w="108" w:type="dxa"/>
              <w:bottom w:w="28" w:type="dxa"/>
              <w:right w:w="108" w:type="dxa"/>
            </w:tcMar>
            <w:vAlign w:val="center"/>
          </w:tcPr>
          <w:p w14:paraId="504A024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方正黑体_GBK" w:hAnsi="方正黑体_GBK" w:eastAsia="方正黑体_GBK" w:cs="方正黑体_GBK"/>
              </w:rPr>
            </w:pPr>
            <w:r>
              <w:rPr>
                <w:rFonts w:hint="eastAsia" w:ascii="方正黑体_GBK" w:hAnsi="方正黑体_GBK" w:eastAsia="方正黑体_GBK" w:cs="方正黑体_GBK"/>
                <w:color w:val="000000"/>
                <w:sz w:val="25"/>
                <w:szCs w:val="25"/>
              </w:rPr>
              <w:t>分值</w:t>
            </w:r>
          </w:p>
        </w:tc>
      </w:tr>
      <w:tr w14:paraId="00CC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5" w:hRule="atLeast"/>
        </w:trPr>
        <w:tc>
          <w:tcPr>
            <w:tcW w:w="474"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4BDD6AD9">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eastAsia="仿宋"/>
                <w:lang w:val="en-US" w:eastAsia="zh-CN"/>
              </w:rPr>
            </w:pPr>
            <w:r>
              <w:rPr>
                <w:rFonts w:hint="eastAsia"/>
                <w:lang w:val="en-US" w:eastAsia="zh-CN"/>
              </w:rPr>
              <w:t>1</w:t>
            </w:r>
          </w:p>
        </w:tc>
        <w:tc>
          <w:tcPr>
            <w:tcW w:w="485"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49425F6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eastAsia="仿宋_GB2312" w:cs="仿宋_GB2312"/>
                <w:color w:val="000000"/>
                <w:sz w:val="25"/>
                <w:szCs w:val="25"/>
                <w:lang w:eastAsia="zh-CN"/>
              </w:rPr>
            </w:pPr>
            <w:r>
              <w:rPr>
                <w:rFonts w:hint="eastAsia" w:ascii="仿宋_GB2312" w:eastAsia="仿宋_GB2312" w:cs="仿宋_GB2312"/>
                <w:color w:val="000000"/>
                <w:sz w:val="25"/>
                <w:szCs w:val="25"/>
                <w:lang w:eastAsia="zh-CN"/>
              </w:rPr>
              <w:t>服</w:t>
            </w:r>
          </w:p>
          <w:p w14:paraId="75767567">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eastAsia="仿宋_GB2312" w:cs="仿宋_GB2312"/>
                <w:color w:val="000000"/>
                <w:sz w:val="25"/>
                <w:szCs w:val="25"/>
                <w:lang w:eastAsia="zh-CN"/>
              </w:rPr>
            </w:pPr>
            <w:r>
              <w:rPr>
                <w:rFonts w:hint="eastAsia" w:ascii="仿宋_GB2312" w:eastAsia="仿宋_GB2312" w:cs="仿宋_GB2312"/>
                <w:color w:val="000000"/>
                <w:sz w:val="25"/>
                <w:szCs w:val="25"/>
                <w:lang w:eastAsia="zh-CN"/>
              </w:rPr>
              <w:t>务</w:t>
            </w:r>
          </w:p>
          <w:p w14:paraId="78DCEA2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费</w:t>
            </w:r>
          </w:p>
        </w:tc>
        <w:tc>
          <w:tcPr>
            <w:tcW w:w="3307"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0B61192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firstLine="500" w:firstLineChars="200"/>
              <w:jc w:val="both"/>
              <w:textAlignment w:val="auto"/>
            </w:pPr>
            <w:r>
              <w:rPr>
                <w:rFonts w:hint="default" w:ascii="仿宋_GB2312" w:eastAsia="仿宋_GB2312" w:cs="仿宋_GB2312"/>
                <w:color w:val="000000"/>
                <w:sz w:val="25"/>
                <w:szCs w:val="25"/>
              </w:rPr>
              <w:t>满足比选要求且最后报价中价格最低的报价作为基准价，其价格为满分，其他</w:t>
            </w:r>
            <w:r>
              <w:rPr>
                <w:rFonts w:hint="default" w:ascii="仿宋_GB2312" w:eastAsia="仿宋_GB2312" w:cs="仿宋_GB2312"/>
                <w:color w:val="000000"/>
                <w:sz w:val="25"/>
                <w:szCs w:val="25"/>
                <w:lang w:val="en-US" w:eastAsia="zh-CN"/>
              </w:rPr>
              <w:t>潜在</w:t>
            </w:r>
            <w:r>
              <w:rPr>
                <w:rFonts w:hint="default" w:ascii="仿宋_GB2312" w:eastAsia="仿宋_GB2312" w:cs="仿宋_GB2312"/>
                <w:color w:val="000000"/>
                <w:sz w:val="25"/>
                <w:szCs w:val="25"/>
              </w:rPr>
              <w:t>供应商的价格分统一按照下列公式计算：报价得分＝（基准价/最后报价）×10。</w:t>
            </w:r>
          </w:p>
        </w:tc>
        <w:tc>
          <w:tcPr>
            <w:tcW w:w="73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0BE2B2FF">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10</w:t>
            </w:r>
          </w:p>
        </w:tc>
      </w:tr>
      <w:tr w14:paraId="41540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6" w:hRule="atLeast"/>
        </w:trPr>
        <w:tc>
          <w:tcPr>
            <w:tcW w:w="474" w:type="pct"/>
            <w:tcBorders>
              <w:top w:val="nil"/>
              <w:left w:val="single" w:color="auto" w:sz="8" w:space="0"/>
              <w:bottom w:val="single" w:color="auto" w:sz="8" w:space="0"/>
              <w:right w:val="single" w:color="auto" w:sz="8" w:space="0"/>
            </w:tcBorders>
            <w:shd w:val="clear" w:color="auto" w:fill="auto"/>
            <w:noWrap w:val="0"/>
            <w:tcMar>
              <w:top w:w="28" w:type="dxa"/>
              <w:left w:w="108" w:type="dxa"/>
              <w:bottom w:w="28" w:type="dxa"/>
              <w:right w:w="108" w:type="dxa"/>
            </w:tcMar>
            <w:vAlign w:val="center"/>
          </w:tcPr>
          <w:p w14:paraId="6782204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eastAsia="仿宋"/>
                <w:lang w:val="en-US" w:eastAsia="zh-CN"/>
              </w:rPr>
            </w:pPr>
            <w:r>
              <w:rPr>
                <w:rFonts w:hint="eastAsia"/>
                <w:lang w:val="en-US" w:eastAsia="zh-CN"/>
              </w:rPr>
              <w:t>2</w:t>
            </w:r>
          </w:p>
        </w:tc>
        <w:tc>
          <w:tcPr>
            <w:tcW w:w="485" w:type="pct"/>
            <w:tcBorders>
              <w:top w:val="nil"/>
              <w:left w:val="nil"/>
              <w:bottom w:val="single" w:color="auto" w:sz="8" w:space="0"/>
              <w:right w:val="single" w:color="auto" w:sz="8" w:space="0"/>
            </w:tcBorders>
            <w:shd w:val="clear" w:color="auto" w:fill="auto"/>
            <w:noWrap w:val="0"/>
            <w:tcMar>
              <w:top w:w="28" w:type="dxa"/>
              <w:left w:w="108" w:type="dxa"/>
              <w:bottom w:w="28" w:type="dxa"/>
              <w:right w:w="108" w:type="dxa"/>
            </w:tcMar>
            <w:vAlign w:val="center"/>
          </w:tcPr>
          <w:p w14:paraId="252C69C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服</w:t>
            </w:r>
          </w:p>
          <w:p w14:paraId="13DD814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务</w:t>
            </w:r>
          </w:p>
          <w:p w14:paraId="417ACD0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方</w:t>
            </w:r>
          </w:p>
          <w:p w14:paraId="2EB42E4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案</w:t>
            </w:r>
          </w:p>
        </w:tc>
        <w:tc>
          <w:tcPr>
            <w:tcW w:w="3307" w:type="pct"/>
            <w:tcBorders>
              <w:top w:val="nil"/>
              <w:left w:val="nil"/>
              <w:bottom w:val="single" w:color="auto" w:sz="8" w:space="0"/>
              <w:right w:val="single" w:color="auto" w:sz="8" w:space="0"/>
            </w:tcBorders>
            <w:shd w:val="clear" w:color="auto" w:fill="FFFFFF"/>
            <w:noWrap w:val="0"/>
            <w:tcMar>
              <w:top w:w="28" w:type="dxa"/>
              <w:left w:w="108" w:type="dxa"/>
              <w:bottom w:w="28" w:type="dxa"/>
              <w:right w:w="108" w:type="dxa"/>
            </w:tcMar>
            <w:vAlign w:val="center"/>
          </w:tcPr>
          <w:p w14:paraId="682E017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供应商应按照项目内容及采购人实际需求，向采购人提交针对本项目切实可行的服务方案，包含但不限于：</w:t>
            </w:r>
          </w:p>
          <w:p w14:paraId="587A2B1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①服务机构概述</w:t>
            </w:r>
          </w:p>
          <w:p w14:paraId="0F3089CC">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②</w:t>
            </w:r>
            <w:r>
              <w:rPr>
                <w:rFonts w:hint="eastAsia" w:ascii="仿宋_GB2312" w:eastAsia="仿宋_GB2312" w:cs="仿宋_GB2312"/>
                <w:color w:val="000000"/>
                <w:sz w:val="25"/>
                <w:szCs w:val="25"/>
                <w:lang w:val="en-US" w:eastAsia="zh-CN"/>
              </w:rPr>
              <w:t>招聘会及雇主培训</w:t>
            </w:r>
            <w:r>
              <w:rPr>
                <w:rFonts w:hint="default" w:ascii="仿宋_GB2312" w:eastAsia="仿宋_GB2312" w:cs="仿宋_GB2312"/>
                <w:color w:val="000000"/>
                <w:sz w:val="25"/>
                <w:szCs w:val="25"/>
                <w:lang w:val="en-US" w:eastAsia="zh-CN"/>
              </w:rPr>
              <w:t>宣传、策划、推广</w:t>
            </w:r>
            <w:r>
              <w:rPr>
                <w:rFonts w:hint="eastAsia" w:ascii="仿宋_GB2312" w:eastAsia="仿宋_GB2312" w:cs="仿宋_GB2312"/>
                <w:color w:val="000000"/>
                <w:sz w:val="25"/>
                <w:szCs w:val="25"/>
                <w:lang w:val="en-US" w:eastAsia="zh-CN"/>
              </w:rPr>
              <w:t>、</w:t>
            </w:r>
            <w:r>
              <w:rPr>
                <w:rFonts w:hint="default" w:ascii="仿宋_GB2312" w:eastAsia="仿宋_GB2312" w:cs="仿宋_GB2312"/>
                <w:color w:val="000000"/>
                <w:sz w:val="25"/>
                <w:szCs w:val="25"/>
                <w:lang w:val="en-US" w:eastAsia="zh-CN"/>
              </w:rPr>
              <w:t>实施</w:t>
            </w:r>
            <w:r>
              <w:rPr>
                <w:rFonts w:hint="eastAsia" w:ascii="仿宋_GB2312" w:eastAsia="仿宋_GB2312" w:cs="仿宋_GB2312"/>
                <w:color w:val="000000"/>
                <w:sz w:val="25"/>
                <w:szCs w:val="25"/>
                <w:lang w:val="en-US" w:eastAsia="zh-CN"/>
              </w:rPr>
              <w:t>计划及流程</w:t>
            </w:r>
          </w:p>
          <w:p w14:paraId="6D34E35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③服务</w:t>
            </w:r>
            <w:r>
              <w:rPr>
                <w:rFonts w:hint="eastAsia" w:ascii="仿宋_GB2312" w:eastAsia="仿宋_GB2312" w:cs="仿宋_GB2312"/>
                <w:color w:val="000000"/>
                <w:sz w:val="25"/>
                <w:szCs w:val="25"/>
                <w:lang w:val="en-US" w:eastAsia="zh-CN"/>
              </w:rPr>
              <w:t>资源和</w:t>
            </w:r>
            <w:r>
              <w:rPr>
                <w:rFonts w:hint="default" w:ascii="仿宋_GB2312" w:eastAsia="仿宋_GB2312" w:cs="仿宋_GB2312"/>
                <w:color w:val="000000"/>
                <w:sz w:val="25"/>
                <w:szCs w:val="25"/>
                <w:lang w:val="en-US" w:eastAsia="zh-CN"/>
              </w:rPr>
              <w:t>优势</w:t>
            </w:r>
          </w:p>
          <w:p w14:paraId="4915E4F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④活动亮点特色</w:t>
            </w:r>
          </w:p>
          <w:p w14:paraId="705AD3F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⑤应急预案及风险防控措施。</w:t>
            </w:r>
          </w:p>
          <w:p w14:paraId="5336261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left"/>
              <w:textAlignment w:val="auto"/>
              <w:rPr>
                <w:rFonts w:hint="eastAsia" w:ascii="仿宋_GB2312" w:eastAsia="仿宋_GB2312" w:cs="仿宋_GB2312"/>
                <w:color w:val="000000"/>
                <w:sz w:val="25"/>
                <w:szCs w:val="25"/>
                <w:lang w:val="en-US" w:eastAsia="zh-CN"/>
              </w:rPr>
            </w:pPr>
            <w:r>
              <w:rPr>
                <w:rFonts w:hint="eastAsia" w:ascii="仿宋_GB2312" w:eastAsia="仿宋_GB2312" w:cs="仿宋_GB2312"/>
                <w:color w:val="000000"/>
                <w:sz w:val="25"/>
                <w:szCs w:val="25"/>
                <w:lang w:val="en-US" w:eastAsia="zh-CN"/>
              </w:rPr>
              <w:t>⑥成果资料</w:t>
            </w:r>
          </w:p>
          <w:p w14:paraId="606D0CF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500" w:firstLineChars="200"/>
              <w:jc w:val="both"/>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 xml:space="preserve">无缺陷的得 </w:t>
            </w:r>
            <w:r>
              <w:rPr>
                <w:rFonts w:hint="eastAsia" w:ascii="仿宋_GB2312" w:eastAsia="仿宋_GB2312" w:cs="仿宋_GB2312"/>
                <w:color w:val="000000"/>
                <w:sz w:val="25"/>
                <w:szCs w:val="25"/>
                <w:lang w:val="en-US" w:eastAsia="zh-CN"/>
              </w:rPr>
              <w:t>54</w:t>
            </w:r>
            <w:r>
              <w:rPr>
                <w:rFonts w:hint="default" w:ascii="仿宋_GB2312" w:eastAsia="仿宋_GB2312" w:cs="仿宋_GB2312"/>
                <w:color w:val="000000"/>
                <w:sz w:val="25"/>
                <w:szCs w:val="25"/>
                <w:lang w:val="en-US" w:eastAsia="zh-CN"/>
              </w:rPr>
              <w:t>分，每有一项存在缺陷的扣5 分，</w:t>
            </w:r>
            <w:r>
              <w:rPr>
                <w:rFonts w:hint="eastAsia" w:ascii="仿宋_GB2312" w:eastAsia="仿宋_GB2312" w:cs="仿宋_GB2312"/>
                <w:color w:val="000000"/>
                <w:sz w:val="25"/>
                <w:szCs w:val="25"/>
                <w:lang w:val="en-US" w:eastAsia="zh-CN"/>
              </w:rPr>
              <w:t>每缺少一项要求内容扣 9 分，多项内容缺失的累计扣分，扣完 54 分为止</w:t>
            </w:r>
            <w:r>
              <w:rPr>
                <w:rFonts w:hint="default" w:ascii="仿宋_GB2312" w:eastAsia="仿宋_GB2312" w:cs="仿宋_GB2312"/>
                <w:color w:val="000000"/>
                <w:sz w:val="25"/>
                <w:szCs w:val="25"/>
                <w:lang w:val="en-US" w:eastAsia="zh-CN"/>
              </w:rPr>
              <w:t>。</w:t>
            </w:r>
          </w:p>
          <w:p w14:paraId="5CE61EE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both"/>
              <w:textAlignment w:val="auto"/>
              <w:rPr>
                <w:rFonts w:hint="default" w:ascii="仿宋_GB2312" w:eastAsia="仿宋_GB2312" w:cs="仿宋_GB2312"/>
                <w:color w:val="000000"/>
                <w:sz w:val="25"/>
                <w:szCs w:val="25"/>
                <w:lang w:val="en-US" w:eastAsia="zh-CN"/>
              </w:rPr>
            </w:pPr>
            <w:r>
              <w:rPr>
                <w:rFonts w:hint="default" w:ascii="仿宋_GB2312" w:eastAsia="仿宋_GB2312" w:cs="仿宋_GB2312"/>
                <w:color w:val="000000"/>
                <w:sz w:val="25"/>
                <w:szCs w:val="25"/>
                <w:lang w:val="en-US" w:eastAsia="zh-CN"/>
              </w:rPr>
              <w:t>（以上“缺陷”是指：存在项目名称、履约期限等描述错误的内容；对项目需求理解或对执</w:t>
            </w:r>
            <w:r>
              <w:rPr>
                <w:rFonts w:hint="eastAsia" w:ascii="仿宋_GB2312" w:eastAsia="仿宋_GB2312" w:cs="仿宋_GB2312"/>
                <w:color w:val="000000"/>
                <w:sz w:val="25"/>
                <w:szCs w:val="25"/>
                <w:lang w:val="en-US" w:eastAsia="zh-CN"/>
              </w:rPr>
              <w:t>行实</w:t>
            </w:r>
            <w:r>
              <w:rPr>
                <w:rFonts w:hint="default" w:ascii="仿宋_GB2312" w:eastAsia="仿宋_GB2312" w:cs="仿宋_GB2312"/>
                <w:color w:val="000000"/>
                <w:sz w:val="25"/>
                <w:szCs w:val="25"/>
                <w:lang w:val="en-US" w:eastAsia="zh-CN"/>
              </w:rPr>
              <w:t>际情况掌握存在偏差，实际方案存在逻辑性错误或相互矛盾，照搬其他项目方案而存在与本项目执行无关的内容；措施方</w:t>
            </w:r>
            <w:r>
              <w:rPr>
                <w:rFonts w:hint="eastAsia" w:ascii="仿宋_GB2312" w:eastAsia="仿宋_GB2312" w:cs="仿宋_GB2312"/>
                <w:color w:val="000000"/>
                <w:sz w:val="25"/>
                <w:szCs w:val="25"/>
                <w:lang w:val="en-US" w:eastAsia="zh-CN"/>
              </w:rPr>
              <w:t>案在</w:t>
            </w:r>
            <w:r>
              <w:rPr>
                <w:rFonts w:hint="default" w:ascii="仿宋_GB2312" w:eastAsia="仿宋_GB2312" w:cs="仿宋_GB2312"/>
                <w:color w:val="000000"/>
                <w:sz w:val="25"/>
                <w:szCs w:val="25"/>
                <w:lang w:val="en-US" w:eastAsia="zh-CN"/>
              </w:rPr>
              <w:t>实际操作中不能运用等情形。</w:t>
            </w:r>
            <w:r>
              <w:rPr>
                <w:rFonts w:hint="eastAsia" w:ascii="仿宋_GB2312" w:eastAsia="仿宋_GB2312" w:cs="仿宋_GB2312"/>
                <w:color w:val="000000"/>
                <w:sz w:val="25"/>
                <w:szCs w:val="25"/>
                <w:lang w:val="en-US" w:eastAsia="zh-CN"/>
              </w:rPr>
              <w:t>‘照搬其他项目方案’指方案中超过 30% 内容与非本项目的其他方案完全一致，且未结合本项目‘残疾人专场招聘会’特点进行调整，需提供对比说明材料由评标委员会核实”</w:t>
            </w:r>
            <w:r>
              <w:rPr>
                <w:rFonts w:hint="default" w:ascii="仿宋_GB2312" w:eastAsia="仿宋_GB2312" w:cs="仿宋_GB2312"/>
                <w:color w:val="000000"/>
                <w:sz w:val="25"/>
                <w:szCs w:val="25"/>
                <w:lang w:val="en-US" w:eastAsia="zh-CN"/>
              </w:rPr>
              <w:t>）</w:t>
            </w:r>
          </w:p>
        </w:tc>
        <w:tc>
          <w:tcPr>
            <w:tcW w:w="73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02B92AA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firstLine="240"/>
              <w:jc w:val="center"/>
              <w:textAlignment w:val="auto"/>
              <w:rPr>
                <w:rFonts w:hint="default" w:eastAsia="仿宋"/>
                <w:lang w:val="en-US" w:eastAsia="zh-CN"/>
              </w:rPr>
            </w:pPr>
            <w:r>
              <w:rPr>
                <w:rFonts w:hint="eastAsia" w:ascii="仿宋_GB2312" w:eastAsia="仿宋_GB2312" w:cs="仿宋_GB2312"/>
                <w:color w:val="000000"/>
                <w:sz w:val="25"/>
                <w:szCs w:val="25"/>
                <w:lang w:val="en-US" w:eastAsia="zh-CN"/>
              </w:rPr>
              <w:t>54</w:t>
            </w:r>
          </w:p>
        </w:tc>
      </w:tr>
    </w:tbl>
    <w:p w14:paraId="4892F84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lang w:val="en-US" w:eastAsia="zh-CN"/>
        </w:rPr>
      </w:pPr>
      <w:r>
        <w:rPr>
          <w:rFonts w:hint="eastAsia"/>
          <w:lang w:val="en-US" w:eastAsia="zh-CN"/>
        </w:rPr>
        <w:br w:type="page"/>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9"/>
        <w:gridCol w:w="827"/>
        <w:gridCol w:w="5636"/>
        <w:gridCol w:w="1247"/>
      </w:tblGrid>
      <w:tr w14:paraId="31F6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74"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16253C8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eastAsia="仿宋"/>
                <w:lang w:val="en-US" w:eastAsia="zh-CN"/>
              </w:rPr>
            </w:pPr>
            <w:r>
              <w:rPr>
                <w:rFonts w:hint="eastAsia"/>
                <w:lang w:val="en-US" w:eastAsia="zh-CN"/>
              </w:rPr>
              <w:t>3</w:t>
            </w:r>
          </w:p>
        </w:tc>
        <w:tc>
          <w:tcPr>
            <w:tcW w:w="485"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5AD87D5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人</w:t>
            </w:r>
          </w:p>
          <w:p w14:paraId="3A29DA1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员</w:t>
            </w:r>
          </w:p>
          <w:p w14:paraId="522C434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配</w:t>
            </w:r>
          </w:p>
          <w:p w14:paraId="25756D2A">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备</w:t>
            </w:r>
          </w:p>
        </w:tc>
        <w:tc>
          <w:tcPr>
            <w:tcW w:w="3307"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712660EB">
            <w:pPr>
              <w:pStyle w:val="1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right="0"/>
              <w:jc w:val="both"/>
              <w:textAlignment w:val="auto"/>
              <w:rPr>
                <w:rFonts w:hint="eastAsia" w:ascii="仿宋_GB2312" w:eastAsia="仿宋_GB2312" w:cs="仿宋_GB2312"/>
                <w:color w:val="000000"/>
                <w:sz w:val="25"/>
                <w:szCs w:val="25"/>
                <w:lang w:val="en-US" w:eastAsia="zh-CN"/>
              </w:rPr>
            </w:pPr>
            <w:r>
              <w:rPr>
                <w:rFonts w:hint="eastAsia" w:ascii="仿宋_GB2312" w:eastAsia="仿宋_GB2312" w:cs="仿宋_GB2312"/>
                <w:color w:val="000000"/>
                <w:sz w:val="25"/>
                <w:szCs w:val="25"/>
                <w:lang w:val="en-US" w:eastAsia="zh-CN"/>
              </w:rPr>
              <w:t>供应商为本项目配备的服务人员不少于10人，需列明各岗位人员的具体职责，确保与服务方案的实施需求匹配，符合得5分，否则不得分，供应商每增加一个取得人力资源服务相关证书的服务人员再得1分，最多得5分。</w:t>
            </w:r>
          </w:p>
          <w:p w14:paraId="6F038E00">
            <w:pPr>
              <w:pStyle w:val="1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仿宋_GB2312" w:eastAsia="仿宋_GB2312" w:cs="仿宋_GB2312"/>
                <w:color w:val="000000"/>
                <w:sz w:val="25"/>
                <w:szCs w:val="25"/>
                <w:lang w:val="en-US" w:eastAsia="zh-CN"/>
              </w:rPr>
            </w:pPr>
            <w:r>
              <w:rPr>
                <w:rFonts w:hint="eastAsia" w:ascii="仿宋_GB2312" w:eastAsia="仿宋_GB2312" w:cs="仿宋_GB2312"/>
                <w:color w:val="000000"/>
                <w:sz w:val="25"/>
                <w:szCs w:val="25"/>
                <w:lang w:val="en-US" w:eastAsia="zh-CN"/>
              </w:rPr>
              <w:t>指派负责我单位业务人员应为本公司缴纳社保人员且有固定的联系工作人员得2分。</w:t>
            </w:r>
          </w:p>
          <w:p w14:paraId="539A44F4">
            <w:pPr>
              <w:pStyle w:val="1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Chars="0" w:right="0" w:rightChars="0"/>
              <w:jc w:val="left"/>
              <w:textAlignment w:val="auto"/>
            </w:pPr>
            <w:r>
              <w:rPr>
                <w:rFonts w:hint="default" w:ascii="仿宋_GB2312" w:eastAsia="仿宋_GB2312" w:cs="仿宋_GB2312"/>
                <w:b/>
                <w:bCs/>
                <w:color w:val="000000"/>
                <w:sz w:val="25"/>
                <w:szCs w:val="25"/>
              </w:rPr>
              <w:t>注：提供有效证明材料复印件并加盖供应商公章。</w:t>
            </w:r>
          </w:p>
        </w:tc>
        <w:tc>
          <w:tcPr>
            <w:tcW w:w="73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0169F66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center"/>
              <w:textAlignment w:val="auto"/>
              <w:rPr>
                <w:rFonts w:hint="default" w:eastAsia="仿宋"/>
                <w:lang w:val="en-US" w:eastAsia="zh-CN"/>
              </w:rPr>
            </w:pPr>
            <w:r>
              <w:rPr>
                <w:rFonts w:hint="eastAsia" w:ascii="仿宋_GB2312" w:eastAsia="仿宋_GB2312" w:cs="仿宋_GB2312"/>
                <w:color w:val="000000"/>
                <w:sz w:val="25"/>
                <w:szCs w:val="25"/>
                <w:lang w:val="en-US" w:eastAsia="zh-CN"/>
              </w:rPr>
              <w:t>12</w:t>
            </w:r>
          </w:p>
        </w:tc>
      </w:tr>
      <w:tr w14:paraId="76C3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97" w:hRule="atLeast"/>
        </w:trPr>
        <w:tc>
          <w:tcPr>
            <w:tcW w:w="474"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7C715CFF">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eastAsia="仿宋"/>
                <w:lang w:val="en-US" w:eastAsia="zh-CN"/>
              </w:rPr>
            </w:pPr>
            <w:r>
              <w:rPr>
                <w:rFonts w:hint="eastAsia"/>
                <w:lang w:val="en-US" w:eastAsia="zh-CN"/>
              </w:rPr>
              <w:t>4</w:t>
            </w:r>
          </w:p>
        </w:tc>
        <w:tc>
          <w:tcPr>
            <w:tcW w:w="485"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49C3FB9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类</w:t>
            </w:r>
          </w:p>
          <w:p w14:paraId="0635BA2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似</w:t>
            </w:r>
          </w:p>
          <w:p w14:paraId="1C8B26B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业</w:t>
            </w:r>
          </w:p>
          <w:p w14:paraId="12CC20C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绩</w:t>
            </w:r>
          </w:p>
        </w:tc>
        <w:tc>
          <w:tcPr>
            <w:tcW w:w="3307"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02E6B44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right="0" w:firstLine="500" w:firstLineChars="200"/>
              <w:jc w:val="left"/>
              <w:textAlignment w:val="auto"/>
            </w:pPr>
            <w:r>
              <w:rPr>
                <w:rFonts w:hint="eastAsia" w:ascii="仿宋_GB2312" w:eastAsia="仿宋_GB2312" w:cs="仿宋_GB2312"/>
                <w:color w:val="000000"/>
                <w:sz w:val="25"/>
                <w:szCs w:val="25"/>
                <w:lang w:eastAsia="zh-CN"/>
              </w:rPr>
              <w:t>供应商近三年（</w:t>
            </w:r>
            <w:r>
              <w:rPr>
                <w:rFonts w:hint="eastAsia" w:ascii="仿宋_GB2312" w:eastAsia="仿宋_GB2312" w:cs="仿宋_GB2312"/>
                <w:color w:val="000000"/>
                <w:sz w:val="25"/>
                <w:szCs w:val="25"/>
                <w:lang w:val="en-US" w:eastAsia="zh-CN"/>
              </w:rPr>
              <w:t>2023年3月至今</w:t>
            </w:r>
            <w:r>
              <w:rPr>
                <w:rFonts w:hint="eastAsia" w:ascii="仿宋_GB2312" w:eastAsia="仿宋_GB2312" w:cs="仿宋_GB2312"/>
                <w:color w:val="000000"/>
                <w:sz w:val="25"/>
                <w:szCs w:val="25"/>
                <w:lang w:eastAsia="zh-CN"/>
              </w:rPr>
              <w:t>）</w:t>
            </w:r>
            <w:r>
              <w:rPr>
                <w:rFonts w:hint="default" w:ascii="仿宋_GB2312" w:eastAsia="仿宋_GB2312" w:cs="仿宋_GB2312"/>
                <w:color w:val="000000"/>
                <w:sz w:val="25"/>
                <w:szCs w:val="25"/>
              </w:rPr>
              <w:t>有</w:t>
            </w:r>
            <w:r>
              <w:rPr>
                <w:rFonts w:hint="eastAsia" w:ascii="仿宋_GB2312" w:eastAsia="仿宋_GB2312" w:cs="仿宋_GB2312"/>
                <w:color w:val="000000"/>
                <w:sz w:val="25"/>
                <w:szCs w:val="25"/>
                <w:lang w:eastAsia="zh-CN"/>
              </w:rPr>
              <w:t>同类项目</w:t>
            </w:r>
            <w:r>
              <w:rPr>
                <w:rFonts w:hint="default" w:ascii="仿宋_GB2312" w:eastAsia="仿宋_GB2312" w:cs="仿宋_GB2312"/>
                <w:color w:val="000000"/>
                <w:sz w:val="25"/>
                <w:szCs w:val="25"/>
              </w:rPr>
              <w:t>业绩的每一项得2分，最多得</w:t>
            </w:r>
            <w:r>
              <w:rPr>
                <w:rFonts w:hint="eastAsia" w:ascii="仿宋_GB2312" w:eastAsia="仿宋_GB2312" w:cs="仿宋_GB2312"/>
                <w:color w:val="000000"/>
                <w:sz w:val="25"/>
                <w:szCs w:val="25"/>
                <w:lang w:val="en-US" w:eastAsia="zh-CN"/>
              </w:rPr>
              <w:t>12</w:t>
            </w:r>
            <w:r>
              <w:rPr>
                <w:rFonts w:hint="default" w:ascii="仿宋_GB2312" w:eastAsia="仿宋_GB2312" w:cs="仿宋_GB2312"/>
                <w:color w:val="000000"/>
                <w:sz w:val="25"/>
                <w:szCs w:val="25"/>
              </w:rPr>
              <w:t>分。</w:t>
            </w:r>
          </w:p>
          <w:p w14:paraId="72DACB72">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left"/>
              <w:textAlignment w:val="auto"/>
            </w:pPr>
            <w:r>
              <w:rPr>
                <w:rFonts w:hint="default" w:ascii="仿宋_GB2312" w:eastAsia="仿宋_GB2312" w:cs="仿宋_GB2312"/>
                <w:b/>
                <w:bCs/>
                <w:color w:val="000000"/>
                <w:sz w:val="25"/>
                <w:szCs w:val="25"/>
                <w:lang w:eastAsia="zh-CN"/>
              </w:rPr>
              <w:t>注：以上业绩需提供加盖公章的</w:t>
            </w:r>
            <w:r>
              <w:rPr>
                <w:rFonts w:hint="eastAsia" w:ascii="仿宋_GB2312" w:eastAsia="仿宋_GB2312" w:cs="仿宋_GB2312"/>
                <w:b/>
                <w:bCs/>
                <w:color w:val="000000"/>
                <w:sz w:val="25"/>
                <w:szCs w:val="25"/>
                <w:lang w:val="en-US" w:eastAsia="zh-CN"/>
              </w:rPr>
              <w:t>中标通知书和服务协议</w:t>
            </w:r>
            <w:r>
              <w:rPr>
                <w:rFonts w:hint="default" w:ascii="仿宋_GB2312" w:eastAsia="仿宋_GB2312" w:cs="仿宋_GB2312"/>
                <w:b/>
                <w:bCs/>
                <w:color w:val="000000"/>
                <w:sz w:val="25"/>
                <w:szCs w:val="25"/>
                <w:lang w:eastAsia="zh-CN"/>
              </w:rPr>
              <w:t>。</w:t>
            </w:r>
          </w:p>
        </w:tc>
        <w:tc>
          <w:tcPr>
            <w:tcW w:w="73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22A0524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center"/>
              <w:textAlignment w:val="auto"/>
              <w:rPr>
                <w:rFonts w:hint="default" w:eastAsia="宋体"/>
                <w:lang w:val="en-US" w:eastAsia="zh-CN"/>
              </w:rPr>
            </w:pPr>
            <w:r>
              <w:rPr>
                <w:rFonts w:hint="eastAsia" w:ascii="仿宋_GB2312" w:eastAsia="仿宋_GB2312" w:cs="仿宋_GB2312"/>
                <w:color w:val="000000"/>
                <w:sz w:val="25"/>
                <w:szCs w:val="25"/>
                <w:lang w:val="en-US" w:eastAsia="zh-CN"/>
              </w:rPr>
              <w:t>12</w:t>
            </w:r>
          </w:p>
        </w:tc>
      </w:tr>
      <w:tr w14:paraId="3B18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6" w:hRule="atLeast"/>
        </w:trPr>
        <w:tc>
          <w:tcPr>
            <w:tcW w:w="474"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5D9128D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eastAsia="仿宋"/>
                <w:lang w:val="en-US" w:eastAsia="zh-CN"/>
              </w:rPr>
            </w:pPr>
            <w:r>
              <w:rPr>
                <w:rFonts w:hint="eastAsia"/>
                <w:lang w:val="en-US" w:eastAsia="zh-CN"/>
              </w:rPr>
              <w:t>5</w:t>
            </w:r>
          </w:p>
        </w:tc>
        <w:tc>
          <w:tcPr>
            <w:tcW w:w="485"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2FF47345">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管</w:t>
            </w:r>
          </w:p>
          <w:p w14:paraId="40F1F3B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理</w:t>
            </w:r>
          </w:p>
          <w:p w14:paraId="26BA8A74">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_GB2312" w:eastAsia="仿宋_GB2312" w:cs="仿宋_GB2312"/>
                <w:color w:val="000000"/>
                <w:sz w:val="25"/>
                <w:szCs w:val="25"/>
              </w:rPr>
            </w:pPr>
            <w:r>
              <w:rPr>
                <w:rFonts w:hint="default" w:ascii="仿宋_GB2312" w:eastAsia="仿宋_GB2312" w:cs="仿宋_GB2312"/>
                <w:color w:val="000000"/>
                <w:sz w:val="25"/>
                <w:szCs w:val="25"/>
              </w:rPr>
              <w:t>制</w:t>
            </w:r>
          </w:p>
          <w:p w14:paraId="7815A51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center"/>
              <w:textAlignment w:val="auto"/>
            </w:pPr>
            <w:r>
              <w:rPr>
                <w:rFonts w:hint="default" w:ascii="仿宋_GB2312" w:eastAsia="仿宋_GB2312" w:cs="仿宋_GB2312"/>
                <w:color w:val="000000"/>
                <w:sz w:val="25"/>
                <w:szCs w:val="25"/>
              </w:rPr>
              <w:t>度</w:t>
            </w:r>
          </w:p>
        </w:tc>
        <w:tc>
          <w:tcPr>
            <w:tcW w:w="3307"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4648B11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firstLine="500" w:firstLineChars="200"/>
              <w:jc w:val="left"/>
              <w:textAlignment w:val="auto"/>
              <w:rPr>
                <w:rFonts w:hint="eastAsia" w:eastAsia="仿宋"/>
                <w:lang w:eastAsia="zh-CN"/>
              </w:rPr>
            </w:pPr>
            <w:r>
              <w:rPr>
                <w:rFonts w:hint="eastAsia" w:ascii="仿宋_GB2312" w:eastAsia="仿宋_GB2312" w:cs="仿宋_GB2312"/>
                <w:color w:val="000000"/>
                <w:sz w:val="25"/>
                <w:szCs w:val="25"/>
                <w:lang w:val="en-US" w:eastAsia="zh-CN"/>
              </w:rPr>
              <w:t>提供机构的管理制度：人员管理制度、内控制度、档案管理制度、财务制度。每提供一项得 3 分，最多得12分。以上每一项中每有1处存在内容缺失扣2分，每一项关于内容缺陷最多扣1分，扣完为止。【内容缺陷是指：存在不适用项目实际情况的情形（与项目实际不匹配、不符合项目特点）、内容简单、可行性低以及不可能实现的夸大情形等】</w:t>
            </w:r>
          </w:p>
        </w:tc>
        <w:tc>
          <w:tcPr>
            <w:tcW w:w="731" w:type="pct"/>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43EC757E">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right="0"/>
              <w:jc w:val="center"/>
              <w:textAlignment w:val="auto"/>
              <w:rPr>
                <w:rFonts w:hint="default" w:eastAsia="宋体"/>
                <w:lang w:val="en-US" w:eastAsia="zh-CN"/>
              </w:rPr>
            </w:pPr>
            <w:r>
              <w:rPr>
                <w:rFonts w:hint="eastAsia" w:ascii="仿宋_GB2312" w:eastAsia="仿宋_GB2312" w:cs="仿宋_GB2312"/>
                <w:color w:val="000000"/>
                <w:sz w:val="25"/>
                <w:szCs w:val="25"/>
                <w:lang w:val="en-US" w:eastAsia="zh-CN"/>
              </w:rPr>
              <w:t>12</w:t>
            </w:r>
          </w:p>
        </w:tc>
      </w:tr>
      <w:tr w14:paraId="2825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474" w:type="pct"/>
            <w:tcBorders>
              <w:top w:val="nil"/>
              <w:left w:val="single" w:color="auto" w:sz="8" w:space="0"/>
              <w:bottom w:val="single" w:color="auto" w:sz="8" w:space="0"/>
              <w:right w:val="single" w:color="auto" w:sz="8" w:space="0"/>
            </w:tcBorders>
            <w:noWrap w:val="0"/>
            <w:tcMar>
              <w:top w:w="28" w:type="dxa"/>
              <w:left w:w="108" w:type="dxa"/>
              <w:bottom w:w="28" w:type="dxa"/>
              <w:right w:w="108" w:type="dxa"/>
            </w:tcMar>
            <w:vAlign w:val="center"/>
          </w:tcPr>
          <w:p w14:paraId="1F3B928D">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400" w:lineRule="exact"/>
              <w:ind w:left="0" w:leftChars="0" w:right="0" w:firstLine="0" w:firstLineChars="0"/>
              <w:jc w:val="both"/>
              <w:textAlignment w:val="auto"/>
            </w:pPr>
            <w:r>
              <w:rPr>
                <w:rFonts w:hint="default" w:ascii="仿宋_GB2312" w:eastAsia="仿宋_GB2312" w:cs="仿宋_GB2312"/>
                <w:color w:val="000000"/>
                <w:sz w:val="25"/>
                <w:szCs w:val="25"/>
              </w:rPr>
              <w:t>总分</w:t>
            </w:r>
          </w:p>
        </w:tc>
        <w:tc>
          <w:tcPr>
            <w:tcW w:w="4525" w:type="pct"/>
            <w:gridSpan w:val="3"/>
            <w:tcBorders>
              <w:top w:val="nil"/>
              <w:left w:val="nil"/>
              <w:bottom w:val="single" w:color="auto" w:sz="8" w:space="0"/>
              <w:right w:val="single" w:color="auto" w:sz="8" w:space="0"/>
            </w:tcBorders>
            <w:noWrap w:val="0"/>
            <w:tcMar>
              <w:top w:w="28" w:type="dxa"/>
              <w:left w:w="108" w:type="dxa"/>
              <w:bottom w:w="28" w:type="dxa"/>
              <w:right w:w="108" w:type="dxa"/>
            </w:tcMar>
            <w:vAlign w:val="center"/>
          </w:tcPr>
          <w:p w14:paraId="5269EAE3">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00" w:lineRule="exact"/>
              <w:ind w:left="0" w:right="0" w:firstLine="0"/>
              <w:jc w:val="center"/>
              <w:textAlignment w:val="auto"/>
            </w:pPr>
            <w:r>
              <w:rPr>
                <w:rFonts w:hint="default" w:ascii="仿宋_GB2312" w:eastAsia="仿宋_GB2312" w:cs="仿宋_GB2312"/>
                <w:color w:val="000000"/>
                <w:spacing w:val="0"/>
                <w:sz w:val="25"/>
                <w:szCs w:val="25"/>
                <w:shd w:val="clear" w:color="auto" w:fill="FFFFFF"/>
              </w:rPr>
              <w:t>100分</w:t>
            </w:r>
          </w:p>
        </w:tc>
      </w:tr>
    </w:tbl>
    <w:p w14:paraId="1C685F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535C0"/>
    <w:multiLevelType w:val="multilevel"/>
    <w:tmpl w:val="813535C0"/>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1">
    <w:nsid w:val="E3A51079"/>
    <w:multiLevelType w:val="singleLevel"/>
    <w:tmpl w:val="E3A5107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02198"/>
    <w:rsid w:val="02917958"/>
    <w:rsid w:val="075F1780"/>
    <w:rsid w:val="077D67E3"/>
    <w:rsid w:val="08124595"/>
    <w:rsid w:val="08ED512C"/>
    <w:rsid w:val="094852AB"/>
    <w:rsid w:val="0EB60596"/>
    <w:rsid w:val="130046B8"/>
    <w:rsid w:val="13AD0903"/>
    <w:rsid w:val="1426657F"/>
    <w:rsid w:val="14355008"/>
    <w:rsid w:val="196F7279"/>
    <w:rsid w:val="1B524A5A"/>
    <w:rsid w:val="1E3E5127"/>
    <w:rsid w:val="1F7560F0"/>
    <w:rsid w:val="22D54A03"/>
    <w:rsid w:val="23F86C88"/>
    <w:rsid w:val="240A5001"/>
    <w:rsid w:val="2738423C"/>
    <w:rsid w:val="274F375A"/>
    <w:rsid w:val="285E612F"/>
    <w:rsid w:val="29196AA1"/>
    <w:rsid w:val="296A0B11"/>
    <w:rsid w:val="2AA07E80"/>
    <w:rsid w:val="2CE55F6D"/>
    <w:rsid w:val="2EBB49EE"/>
    <w:rsid w:val="2FBE7AFB"/>
    <w:rsid w:val="301D6BAD"/>
    <w:rsid w:val="340B74B4"/>
    <w:rsid w:val="369A234C"/>
    <w:rsid w:val="3C4C173C"/>
    <w:rsid w:val="3C525089"/>
    <w:rsid w:val="3C7930E0"/>
    <w:rsid w:val="3CEB2A17"/>
    <w:rsid w:val="3CF06942"/>
    <w:rsid w:val="3E4A678D"/>
    <w:rsid w:val="40EC1096"/>
    <w:rsid w:val="413E755D"/>
    <w:rsid w:val="459C7A87"/>
    <w:rsid w:val="461D72AB"/>
    <w:rsid w:val="461D7DF4"/>
    <w:rsid w:val="46EC286E"/>
    <w:rsid w:val="479A08A7"/>
    <w:rsid w:val="4AF045C2"/>
    <w:rsid w:val="4E177BCF"/>
    <w:rsid w:val="516F3C86"/>
    <w:rsid w:val="55093DAF"/>
    <w:rsid w:val="575A6FC3"/>
    <w:rsid w:val="599729F5"/>
    <w:rsid w:val="5B2132CD"/>
    <w:rsid w:val="5B6E7605"/>
    <w:rsid w:val="5BA97BF4"/>
    <w:rsid w:val="5C1D5CD1"/>
    <w:rsid w:val="5DB61ABF"/>
    <w:rsid w:val="5F79574A"/>
    <w:rsid w:val="61290E80"/>
    <w:rsid w:val="63633634"/>
    <w:rsid w:val="63E57A79"/>
    <w:rsid w:val="67ED1A09"/>
    <w:rsid w:val="696A14FE"/>
    <w:rsid w:val="69AB1EB2"/>
    <w:rsid w:val="6A982774"/>
    <w:rsid w:val="6E802198"/>
    <w:rsid w:val="6F0A192B"/>
    <w:rsid w:val="6FED0016"/>
    <w:rsid w:val="71FA7C7A"/>
    <w:rsid w:val="72093E80"/>
    <w:rsid w:val="7AB04FA3"/>
    <w:rsid w:val="7ADB1034"/>
    <w:rsid w:val="7E6A0104"/>
    <w:rsid w:val="7F165A29"/>
    <w:rsid w:val="7FE7182D"/>
    <w:rsid w:val="7FF3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20"/>
    <w:qFormat/>
    <w:uiPriority w:val="0"/>
    <w:pPr>
      <w:keepNext/>
      <w:keepLines/>
      <w:numPr>
        <w:ilvl w:val="0"/>
        <w:numId w:val="1"/>
      </w:numPr>
      <w:tabs>
        <w:tab w:val="left" w:pos="0"/>
      </w:tabs>
      <w:spacing w:before="50" w:beforeLines="50" w:line="288" w:lineRule="auto"/>
      <w:ind w:left="425" w:hanging="425"/>
      <w:jc w:val="center"/>
      <w:outlineLvl w:val="0"/>
    </w:pPr>
    <w:rPr>
      <w:rFonts w:ascii="Arial" w:hAnsi="Arial" w:eastAsia="微软雅黑" w:cstheme="minorBidi"/>
      <w:b/>
      <w:bCs/>
      <w:kern w:val="44"/>
      <w:sz w:val="44"/>
    </w:rPr>
  </w:style>
  <w:style w:type="paragraph" w:styleId="3">
    <w:name w:val="heading 2"/>
    <w:basedOn w:val="1"/>
    <w:next w:val="1"/>
    <w:link w:val="21"/>
    <w:semiHidden/>
    <w:unhideWhenUsed/>
    <w:qFormat/>
    <w:uiPriority w:val="0"/>
    <w:pPr>
      <w:numPr>
        <w:ilvl w:val="1"/>
        <w:numId w:val="1"/>
      </w:numPr>
      <w:tabs>
        <w:tab w:val="left" w:pos="0"/>
      </w:tabs>
      <w:ind w:left="567" w:hanging="567" w:firstLineChars="0"/>
      <w:outlineLvl w:val="1"/>
    </w:pPr>
    <w:rPr>
      <w:rFonts w:ascii="Arial" w:hAnsi="Arial"/>
      <w:b/>
      <w:sz w:val="32"/>
    </w:rPr>
  </w:style>
  <w:style w:type="paragraph" w:styleId="4">
    <w:name w:val="heading 3"/>
    <w:basedOn w:val="1"/>
    <w:next w:val="1"/>
    <w:link w:val="22"/>
    <w:semiHidden/>
    <w:unhideWhenUsed/>
    <w:qFormat/>
    <w:uiPriority w:val="0"/>
    <w:pPr>
      <w:numPr>
        <w:ilvl w:val="2"/>
        <w:numId w:val="1"/>
      </w:numPr>
      <w:tabs>
        <w:tab w:val="left" w:pos="312"/>
      </w:tabs>
      <w:ind w:left="709" w:hanging="709" w:firstLineChars="0"/>
      <w:outlineLvl w:val="2"/>
    </w:pPr>
    <w:rPr>
      <w:rFonts w:ascii="Arial" w:hAnsi="Arial"/>
      <w:b/>
      <w:sz w:val="30"/>
      <w:szCs w:val="30"/>
    </w:rPr>
  </w:style>
  <w:style w:type="paragraph" w:styleId="5">
    <w:name w:val="heading 4"/>
    <w:basedOn w:val="1"/>
    <w:next w:val="1"/>
    <w:semiHidden/>
    <w:unhideWhenUsed/>
    <w:qFormat/>
    <w:uiPriority w:val="0"/>
    <w:pPr>
      <w:numPr>
        <w:ilvl w:val="3"/>
        <w:numId w:val="1"/>
      </w:numPr>
      <w:ind w:left="850" w:hanging="850" w:firstLineChars="0"/>
      <w:outlineLvl w:val="3"/>
    </w:pPr>
    <w:rPr>
      <w:rFonts w:ascii="Arial" w:hAnsi="Arial"/>
      <w:b/>
      <w:sz w:val="28"/>
    </w:rPr>
  </w:style>
  <w:style w:type="paragraph" w:styleId="6">
    <w:name w:val="heading 5"/>
    <w:basedOn w:val="1"/>
    <w:next w:val="1"/>
    <w:semiHidden/>
    <w:unhideWhenUsed/>
    <w:qFormat/>
    <w:uiPriority w:val="0"/>
    <w:pPr>
      <w:numPr>
        <w:ilvl w:val="4"/>
        <w:numId w:val="1"/>
      </w:numPr>
      <w:tabs>
        <w:tab w:val="left" w:pos="312"/>
      </w:tabs>
      <w:ind w:left="0" w:hanging="991"/>
      <w:outlineLvl w:val="4"/>
    </w:pPr>
    <w:rPr>
      <w:rFonts w:ascii="Arial" w:hAnsi="Arial"/>
      <w:b/>
      <w:sz w:val="24"/>
      <w:szCs w:val="22"/>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spacing w:line="360" w:lineRule="auto"/>
      <w:ind w:left="960" w:leftChars="400" w:firstLine="0" w:firstLineChars="0"/>
      <w:jc w:val="both"/>
    </w:pPr>
    <w:rPr>
      <w:szCs w:val="24"/>
    </w:rPr>
  </w:style>
  <w:style w:type="paragraph" w:styleId="13">
    <w:name w:val="toc 1"/>
    <w:basedOn w:val="1"/>
    <w:next w:val="1"/>
    <w:qFormat/>
    <w:uiPriority w:val="0"/>
    <w:pPr>
      <w:spacing w:line="360" w:lineRule="auto"/>
      <w:ind w:right="0" w:firstLine="0" w:firstLineChars="0"/>
      <w:jc w:val="both"/>
    </w:pPr>
    <w:rPr>
      <w:rFonts w:ascii="Times New Roman" w:hAnsi="Times New Roman" w:eastAsia="仿宋" w:cs="Times New Roman"/>
      <w:b/>
      <w:sz w:val="24"/>
    </w:rPr>
  </w:style>
  <w:style w:type="paragraph" w:styleId="14">
    <w:name w:val="toc 2"/>
    <w:basedOn w:val="1"/>
    <w:next w:val="1"/>
    <w:qFormat/>
    <w:uiPriority w:val="0"/>
    <w:pPr>
      <w:spacing w:line="360" w:lineRule="auto"/>
      <w:ind w:left="480" w:leftChars="200" w:firstLine="0" w:firstLineChars="0"/>
      <w:jc w:val="both"/>
    </w:pPr>
    <w:rPr>
      <w:rFonts w:ascii="Times New Roman" w:hAnsi="Times New Roman" w:cs="Times New Roman"/>
      <w:szCs w:val="24"/>
    </w:rPr>
  </w:style>
  <w:style w:type="paragraph" w:styleId="15">
    <w:name w:val="Body Text 2"/>
    <w:basedOn w:val="1"/>
    <w:qFormat/>
    <w:uiPriority w:val="0"/>
    <w:pPr>
      <w:spacing w:after="120" w:afterLines="0" w:afterAutospacing="0" w:line="480" w:lineRule="auto"/>
    </w:pPr>
  </w:style>
  <w:style w:type="paragraph" w:styleId="16">
    <w:name w:val="HTML Preformatted"/>
    <w:basedOn w:val="1"/>
    <w:qFormat/>
    <w:uiPriority w:val="0"/>
    <w:rPr>
      <w:rFonts w:ascii="Courier New" w:hAnsi="Courier New"/>
      <w:sz w:val="20"/>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20">
    <w:name w:val="标题 1 Char"/>
    <w:link w:val="2"/>
    <w:qFormat/>
    <w:uiPriority w:val="0"/>
    <w:rPr>
      <w:rFonts w:ascii="Arial" w:hAnsi="Arial" w:eastAsia="微软雅黑" w:cstheme="minorBidi"/>
      <w:b/>
      <w:bCs/>
      <w:kern w:val="44"/>
      <w:sz w:val="44"/>
    </w:rPr>
  </w:style>
  <w:style w:type="character" w:customStyle="1" w:styleId="21">
    <w:name w:val="Heading 2 Char"/>
    <w:link w:val="3"/>
    <w:semiHidden/>
    <w:qFormat/>
    <w:uiPriority w:val="9"/>
    <w:rPr>
      <w:rFonts w:ascii="Arial" w:hAnsi="Arial" w:eastAsia="微软雅黑" w:cstheme="minorBidi"/>
      <w:b/>
      <w:kern w:val="2"/>
      <w:sz w:val="32"/>
    </w:rPr>
  </w:style>
  <w:style w:type="character" w:customStyle="1" w:styleId="22">
    <w:name w:val="Heading 3 Char"/>
    <w:link w:val="4"/>
    <w:semiHidden/>
    <w:qFormat/>
    <w:uiPriority w:val="9"/>
    <w:rPr>
      <w:rFonts w:ascii="Arial" w:hAnsi="Arial" w:eastAsia="微软雅黑" w:cstheme="minorBidi"/>
      <w:b/>
      <w:kern w:val="2"/>
      <w:sz w:val="30"/>
      <w:szCs w:val="30"/>
    </w:rPr>
  </w:style>
  <w:style w:type="paragraph" w:customStyle="1" w:styleId="23">
    <w:name w:val="正文不缩进"/>
    <w:basedOn w:val="1"/>
    <w:qFormat/>
    <w:uiPriority w:val="0"/>
    <w:pPr>
      <w:ind w:firstLine="0" w:firstLineChars="0"/>
    </w:pPr>
    <w:rPr>
      <w:rFonts w:hint="eastAsia" w:ascii="微软雅黑" w:hAnsi="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2026-03-09T08:22:00Z</dcterms:created>
  <dc:creator>Nn</dc:creator>
  <cp:lastModifiedBy>Nn</cp:lastModifiedBy>
  <dcterms:modified xsi:type="dcterms:W3CDTF">2026-03-09T08:22:52Z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0ECD321DA94843F194EC5B68294505B6_11</vt:lpwstr>
  </property>
  <property fmtid="{D5CDD505-2E9C-101B-9397-08002B2CF9AE}" pid="4" name="KSOTemplateDocerSaveRecord">
    <vt:lpwstr>eyJoZGlkIjoiM2VlMWMzYmM5YWVkYzU1Y2JmMDNmNjA3MWRiNzM0MGUiLCJ1c2VySWQiOiI2MjEzNjc1NTcifQ==</vt:lpwstr>
  </property>
</Properties>
</file>