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7990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w:t>
      </w:r>
    </w:p>
    <w:p w14:paraId="33B9C95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pacing w:val="0"/>
          <w:sz w:val="44"/>
          <w:szCs w:val="44"/>
        </w:rPr>
      </w:pPr>
      <w:bookmarkStart w:id="0" w:name="_GoBack"/>
      <w:r>
        <w:rPr>
          <w:rFonts w:hint="eastAsia" w:ascii="方正小标宋简体" w:hAnsi="方正小标宋简体" w:eastAsia="方正小标宋简体" w:cs="方正小标宋简体"/>
          <w:spacing w:val="0"/>
          <w:sz w:val="44"/>
          <w:szCs w:val="44"/>
        </w:rPr>
        <w:t>评分标准</w:t>
      </w:r>
    </w:p>
    <w:bookmarkEnd w:id="0"/>
    <w:tbl>
      <w:tblPr>
        <w:tblStyle w:val="18"/>
        <w:tblW w:w="91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39"/>
        <w:gridCol w:w="1444"/>
        <w:gridCol w:w="5701"/>
        <w:gridCol w:w="1020"/>
      </w:tblGrid>
      <w:tr w14:paraId="5426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939" w:type="dxa"/>
            <w:tcBorders>
              <w:top w:val="single" w:color="auto" w:sz="8" w:space="0"/>
              <w:left w:val="single" w:color="auto" w:sz="8" w:space="0"/>
              <w:bottom w:val="single" w:color="auto" w:sz="8" w:space="0"/>
              <w:right w:val="single" w:color="auto" w:sz="8" w:space="0"/>
            </w:tcBorders>
            <w:tcMar>
              <w:top w:w="28" w:type="dxa"/>
              <w:left w:w="108" w:type="dxa"/>
              <w:bottom w:w="28" w:type="dxa"/>
              <w:right w:w="108" w:type="dxa"/>
            </w:tcMar>
            <w:vAlign w:val="center"/>
          </w:tcPr>
          <w:p w14:paraId="52E3F67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序号</w:t>
            </w:r>
          </w:p>
        </w:tc>
        <w:tc>
          <w:tcPr>
            <w:tcW w:w="1444" w:type="dxa"/>
            <w:tcBorders>
              <w:top w:val="single" w:color="auto" w:sz="8" w:space="0"/>
              <w:left w:val="nil"/>
              <w:bottom w:val="single" w:color="auto" w:sz="8" w:space="0"/>
              <w:right w:val="single" w:color="auto" w:sz="8" w:space="0"/>
            </w:tcBorders>
            <w:tcMar>
              <w:top w:w="28" w:type="dxa"/>
              <w:left w:w="108" w:type="dxa"/>
              <w:bottom w:w="28" w:type="dxa"/>
              <w:right w:w="108" w:type="dxa"/>
            </w:tcMar>
            <w:vAlign w:val="center"/>
          </w:tcPr>
          <w:p w14:paraId="5E83F9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评分项目</w:t>
            </w:r>
          </w:p>
        </w:tc>
        <w:tc>
          <w:tcPr>
            <w:tcW w:w="5701" w:type="dxa"/>
            <w:tcBorders>
              <w:top w:val="single" w:color="auto" w:sz="8" w:space="0"/>
              <w:left w:val="nil"/>
              <w:bottom w:val="single" w:color="auto" w:sz="8" w:space="0"/>
              <w:right w:val="single" w:color="auto" w:sz="8" w:space="0"/>
            </w:tcBorders>
            <w:tcMar>
              <w:top w:w="28" w:type="dxa"/>
              <w:left w:w="108" w:type="dxa"/>
              <w:bottom w:w="28" w:type="dxa"/>
              <w:right w:w="108" w:type="dxa"/>
            </w:tcMar>
            <w:vAlign w:val="center"/>
          </w:tcPr>
          <w:p w14:paraId="72925B5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评标标准</w:t>
            </w:r>
          </w:p>
        </w:tc>
        <w:tc>
          <w:tcPr>
            <w:tcW w:w="1020" w:type="dxa"/>
            <w:tcBorders>
              <w:top w:val="single" w:color="auto" w:sz="8" w:space="0"/>
              <w:left w:val="nil"/>
              <w:bottom w:val="single" w:color="auto" w:sz="8" w:space="0"/>
              <w:right w:val="single" w:color="auto" w:sz="8" w:space="0"/>
            </w:tcBorders>
            <w:tcMar>
              <w:top w:w="28" w:type="dxa"/>
              <w:left w:w="108" w:type="dxa"/>
              <w:bottom w:w="28" w:type="dxa"/>
              <w:right w:w="108" w:type="dxa"/>
            </w:tcMar>
            <w:vAlign w:val="center"/>
          </w:tcPr>
          <w:p w14:paraId="6CB533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分值</w:t>
            </w:r>
          </w:p>
        </w:tc>
      </w:tr>
      <w:tr w14:paraId="56CA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939"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27F0DA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1</w:t>
            </w:r>
          </w:p>
        </w:tc>
        <w:tc>
          <w:tcPr>
            <w:tcW w:w="1444" w:type="dxa"/>
            <w:tcBorders>
              <w:top w:val="nil"/>
              <w:left w:val="nil"/>
              <w:bottom w:val="single" w:color="auto" w:sz="8" w:space="0"/>
              <w:right w:val="single" w:color="auto" w:sz="8" w:space="0"/>
            </w:tcBorders>
            <w:tcMar>
              <w:top w:w="28" w:type="dxa"/>
              <w:left w:w="108" w:type="dxa"/>
              <w:bottom w:w="28" w:type="dxa"/>
              <w:right w:w="108" w:type="dxa"/>
            </w:tcMar>
            <w:vAlign w:val="center"/>
          </w:tcPr>
          <w:p w14:paraId="7F4C45C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代理费</w:t>
            </w:r>
          </w:p>
        </w:tc>
        <w:tc>
          <w:tcPr>
            <w:tcW w:w="5701" w:type="dxa"/>
            <w:tcBorders>
              <w:top w:val="nil"/>
              <w:left w:val="nil"/>
              <w:bottom w:val="single" w:color="auto" w:sz="8" w:space="0"/>
              <w:right w:val="single" w:color="auto" w:sz="8" w:space="0"/>
            </w:tcBorders>
            <w:tcMar>
              <w:top w:w="28" w:type="dxa"/>
              <w:left w:w="108" w:type="dxa"/>
              <w:bottom w:w="28" w:type="dxa"/>
              <w:right w:w="108" w:type="dxa"/>
            </w:tcMar>
            <w:vAlign w:val="center"/>
          </w:tcPr>
          <w:p w14:paraId="5051841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color w:val="000000"/>
                <w:sz w:val="28"/>
                <w:szCs w:val="28"/>
              </w:rPr>
              <w:t>满足比选要求且最后报价中价格最低的报价作为基准价，其价格为满分，其他供应商的价格分统一按照下列</w:t>
            </w:r>
            <w:r>
              <w:rPr>
                <w:rFonts w:hint="eastAsia" w:ascii="仿宋" w:hAnsi="仿宋" w:eastAsia="仿宋" w:cs="仿宋"/>
                <w:color w:val="000000"/>
                <w:sz w:val="28"/>
                <w:szCs w:val="28"/>
                <w:lang w:eastAsia="zh-CN"/>
              </w:rPr>
              <w:t>公式</w:t>
            </w:r>
            <w:r>
              <w:rPr>
                <w:rFonts w:hint="eastAsia" w:ascii="仿宋" w:hAnsi="仿宋" w:eastAsia="仿宋" w:cs="仿宋"/>
                <w:color w:val="000000"/>
                <w:sz w:val="28"/>
                <w:szCs w:val="28"/>
              </w:rPr>
              <w:t>计算：报价得分＝（基准价/最后报价）×</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0。</w:t>
            </w:r>
          </w:p>
        </w:tc>
        <w:tc>
          <w:tcPr>
            <w:tcW w:w="1020" w:type="dxa"/>
            <w:tcBorders>
              <w:top w:val="nil"/>
              <w:left w:val="nil"/>
              <w:bottom w:val="single" w:color="auto" w:sz="8" w:space="0"/>
              <w:right w:val="single" w:color="auto" w:sz="8" w:space="0"/>
            </w:tcBorders>
            <w:tcMar>
              <w:top w:w="28" w:type="dxa"/>
              <w:left w:w="108" w:type="dxa"/>
              <w:bottom w:w="28" w:type="dxa"/>
              <w:right w:w="108" w:type="dxa"/>
            </w:tcMar>
            <w:vAlign w:val="center"/>
          </w:tcPr>
          <w:p w14:paraId="684EFC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lang w:val="en-US"/>
              </w:rPr>
            </w:pPr>
            <w:r>
              <w:rPr>
                <w:rFonts w:hint="eastAsia" w:ascii="仿宋" w:hAnsi="仿宋" w:eastAsia="仿宋" w:cs="仿宋"/>
                <w:color w:val="000000"/>
                <w:sz w:val="28"/>
                <w:szCs w:val="28"/>
                <w:lang w:val="en-US" w:eastAsia="zh-CN"/>
              </w:rPr>
              <w:t>10</w:t>
            </w:r>
          </w:p>
        </w:tc>
      </w:tr>
      <w:tr w14:paraId="6133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99" w:hRule="atLeast"/>
        </w:trPr>
        <w:tc>
          <w:tcPr>
            <w:tcW w:w="939"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14:paraId="1637F11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2</w:t>
            </w:r>
          </w:p>
        </w:tc>
        <w:tc>
          <w:tcPr>
            <w:tcW w:w="1444"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14:paraId="34951A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招标代理服务方案</w:t>
            </w:r>
          </w:p>
        </w:tc>
        <w:tc>
          <w:tcPr>
            <w:tcW w:w="5701" w:type="dxa"/>
            <w:tcBorders>
              <w:top w:val="nil"/>
              <w:left w:val="single" w:color="auto" w:sz="8" w:space="0"/>
              <w:bottom w:val="single" w:color="auto" w:sz="8" w:space="0"/>
              <w:right w:val="single" w:color="auto" w:sz="8" w:space="0"/>
            </w:tcBorders>
            <w:shd w:val="clear" w:color="auto" w:fill="FFFFFF"/>
            <w:tcMar>
              <w:top w:w="28" w:type="dxa"/>
              <w:left w:w="108" w:type="dxa"/>
              <w:bottom w:w="28" w:type="dxa"/>
              <w:right w:w="108" w:type="dxa"/>
            </w:tcMar>
            <w:vAlign w:val="center"/>
          </w:tcPr>
          <w:p w14:paraId="1C8CC54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sz w:val="28"/>
                <w:szCs w:val="28"/>
              </w:rPr>
            </w:pPr>
            <w:r>
              <w:rPr>
                <w:rFonts w:hint="eastAsia" w:ascii="仿宋" w:hAnsi="仿宋" w:eastAsia="仿宋" w:cs="仿宋"/>
                <w:color w:val="000000"/>
                <w:sz w:val="28"/>
                <w:szCs w:val="28"/>
              </w:rPr>
              <w:t>服务方案（</w:t>
            </w:r>
            <w:r>
              <w:rPr>
                <w:rFonts w:hint="eastAsia" w:ascii="仿宋" w:hAnsi="仿宋" w:eastAsia="仿宋" w:cs="仿宋"/>
                <w:color w:val="000000"/>
                <w:sz w:val="28"/>
                <w:szCs w:val="28"/>
                <w:lang w:val="en-US" w:eastAsia="zh-CN"/>
              </w:rPr>
              <w:t>54</w:t>
            </w:r>
            <w:r>
              <w:rPr>
                <w:rFonts w:hint="eastAsia" w:ascii="仿宋" w:hAnsi="仿宋" w:eastAsia="仿宋" w:cs="仿宋"/>
                <w:color w:val="000000"/>
                <w:sz w:val="28"/>
                <w:szCs w:val="28"/>
              </w:rPr>
              <w:t>分）</w:t>
            </w:r>
          </w:p>
          <w:p w14:paraId="0D19EB9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sz w:val="28"/>
                <w:szCs w:val="28"/>
              </w:rPr>
            </w:pPr>
            <w:r>
              <w:rPr>
                <w:rFonts w:hint="eastAsia" w:ascii="仿宋" w:hAnsi="仿宋" w:eastAsia="仿宋" w:cs="仿宋"/>
                <w:color w:val="000000"/>
                <w:sz w:val="28"/>
                <w:szCs w:val="28"/>
              </w:rPr>
              <w:t>供应商应按照项目内容及采购人实际需求，向采购人提交针对本项目切实可行的服务方案，包含但不限于：</w:t>
            </w:r>
          </w:p>
          <w:p w14:paraId="0D223BA0">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服务内容</w:t>
            </w:r>
          </w:p>
          <w:p w14:paraId="4FA6ED0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 w:hAnsi="仿宋" w:eastAsia="仿宋" w:cs="仿宋"/>
                <w:sz w:val="28"/>
                <w:szCs w:val="28"/>
              </w:rPr>
            </w:pPr>
            <w:r>
              <w:rPr>
                <w:rFonts w:hint="eastAsia" w:ascii="仿宋" w:hAnsi="仿宋" w:eastAsia="仿宋" w:cs="仿宋"/>
                <w:color w:val="000000"/>
                <w:sz w:val="28"/>
                <w:szCs w:val="28"/>
              </w:rPr>
              <w:t>2、工作流程及方法</w:t>
            </w:r>
          </w:p>
          <w:p w14:paraId="35F019FD">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3、成果资料</w:t>
            </w:r>
          </w:p>
          <w:p w14:paraId="15792556">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4、服务质量标准及服务质量保障措施</w:t>
            </w:r>
          </w:p>
          <w:p w14:paraId="4F3CD6E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5、对招标工作的建议和意见</w:t>
            </w:r>
          </w:p>
          <w:p w14:paraId="2DC469DD">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6、质疑投诉处理措施</w:t>
            </w:r>
          </w:p>
          <w:p w14:paraId="1640E8C5">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7、质量承诺及保证措施</w:t>
            </w:r>
          </w:p>
          <w:p w14:paraId="3B1A076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8、风险防控措施</w:t>
            </w:r>
          </w:p>
          <w:p w14:paraId="257A2F5D">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9、档案管理</w:t>
            </w:r>
            <w:r>
              <w:rPr>
                <w:rFonts w:hint="eastAsia" w:ascii="仿宋" w:hAnsi="仿宋" w:eastAsia="仿宋" w:cs="仿宋"/>
                <w:color w:val="000000"/>
                <w:sz w:val="28"/>
                <w:szCs w:val="28"/>
              </w:rPr>
              <w:t>。</w:t>
            </w:r>
          </w:p>
          <w:p w14:paraId="0708C0C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每提供一项得6分，最多得</w:t>
            </w:r>
            <w:r>
              <w:rPr>
                <w:rFonts w:hint="eastAsia" w:ascii="仿宋" w:hAnsi="仿宋" w:eastAsia="仿宋" w:cs="仿宋"/>
                <w:color w:val="000000"/>
                <w:sz w:val="28"/>
                <w:szCs w:val="28"/>
                <w:lang w:val="en-US" w:eastAsia="zh-CN"/>
              </w:rPr>
              <w:t>54</w:t>
            </w:r>
            <w:r>
              <w:rPr>
                <w:rFonts w:hint="eastAsia" w:ascii="仿宋" w:hAnsi="仿宋" w:eastAsia="仿宋" w:cs="仿宋"/>
                <w:color w:val="000000"/>
                <w:sz w:val="28"/>
                <w:szCs w:val="28"/>
              </w:rPr>
              <w:t>分。以上每一项中每有1处存在内容缺失扣5分，每一项关于内容缺陷最多扣2.5分，扣完为止。</w:t>
            </w:r>
          </w:p>
          <w:p w14:paraId="35DB3C87">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 w:hAnsi="仿宋" w:eastAsia="仿宋" w:cs="仿宋"/>
                <w:sz w:val="28"/>
                <w:szCs w:val="28"/>
              </w:rPr>
            </w:pPr>
            <w:r>
              <w:rPr>
                <w:rFonts w:hint="eastAsia" w:ascii="仿宋" w:hAnsi="仿宋" w:eastAsia="仿宋" w:cs="仿宋"/>
                <w:color w:val="000000"/>
                <w:sz w:val="28"/>
                <w:szCs w:val="28"/>
              </w:rPr>
              <w:t>【内容缺陷是指：存在不适用项目实际情况的情形（与项目实际不匹配、不符合项目特点）、内容简单、可行性低、人员分工和岗位设置不完整不明确、凭空编造、逻辑漏洞、科学原理错误以及不可能实现的夸大情形等】</w:t>
            </w:r>
          </w:p>
        </w:tc>
        <w:tc>
          <w:tcPr>
            <w:tcW w:w="1020"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56F7CE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240"/>
              <w:textAlignment w:val="auto"/>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54</w:t>
            </w:r>
          </w:p>
        </w:tc>
      </w:tr>
      <w:tr w14:paraId="67C6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6" w:hRule="atLeast"/>
        </w:trPr>
        <w:tc>
          <w:tcPr>
            <w:tcW w:w="939"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7FE1DD7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3</w:t>
            </w:r>
          </w:p>
        </w:tc>
        <w:tc>
          <w:tcPr>
            <w:tcW w:w="1444"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4CF7B97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人员配备</w:t>
            </w:r>
          </w:p>
        </w:tc>
        <w:tc>
          <w:tcPr>
            <w:tcW w:w="5701"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120014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sz w:val="28"/>
                <w:szCs w:val="28"/>
              </w:rPr>
            </w:pPr>
            <w:r>
              <w:rPr>
                <w:rFonts w:hint="eastAsia" w:ascii="仿宋" w:hAnsi="仿宋" w:eastAsia="仿宋" w:cs="仿宋"/>
                <w:color w:val="000000"/>
                <w:sz w:val="28"/>
                <w:szCs w:val="28"/>
              </w:rPr>
              <w:t>项目组成员（1</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分）</w:t>
            </w:r>
          </w:p>
          <w:p w14:paraId="36CD83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sz w:val="28"/>
                <w:szCs w:val="28"/>
              </w:rPr>
            </w:pPr>
            <w:r>
              <w:rPr>
                <w:rFonts w:hint="eastAsia" w:ascii="仿宋" w:hAnsi="仿宋" w:eastAsia="仿宋" w:cs="仿宋"/>
                <w:color w:val="000000"/>
                <w:sz w:val="28"/>
                <w:szCs w:val="28"/>
              </w:rPr>
              <w:t>1、项目组成员具有</w:t>
            </w:r>
            <w:r>
              <w:rPr>
                <w:rFonts w:hint="eastAsia" w:ascii="仿宋" w:hAnsi="仿宋" w:eastAsia="仿宋" w:cs="仿宋"/>
                <w:color w:val="000000"/>
                <w:sz w:val="28"/>
                <w:szCs w:val="28"/>
                <w:lang w:eastAsia="zh-CN"/>
              </w:rPr>
              <w:t>财政部门或法定监管机构颁发的招标代理相关从业资格证书</w:t>
            </w:r>
            <w:r>
              <w:rPr>
                <w:rFonts w:hint="eastAsia" w:ascii="仿宋" w:hAnsi="仿宋" w:eastAsia="仿宋" w:cs="仿宋"/>
                <w:color w:val="000000"/>
                <w:sz w:val="28"/>
                <w:szCs w:val="28"/>
              </w:rPr>
              <w:t>，每有1个得2分，最高得1</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分。</w:t>
            </w:r>
          </w:p>
          <w:p w14:paraId="39757B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sz w:val="28"/>
                <w:szCs w:val="28"/>
              </w:rPr>
            </w:pPr>
            <w:r>
              <w:rPr>
                <w:rFonts w:hint="eastAsia" w:ascii="仿宋" w:hAnsi="仿宋" w:eastAsia="仿宋" w:cs="仿宋"/>
                <w:color w:val="000000"/>
                <w:sz w:val="28"/>
                <w:szCs w:val="28"/>
              </w:rPr>
              <w:t>2、指派负责我单位业务人员应为本公司缴纳社保人员且有固定的联系工作人员得2分。</w:t>
            </w:r>
          </w:p>
          <w:p w14:paraId="37AF6D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sz w:val="28"/>
                <w:szCs w:val="28"/>
              </w:rPr>
            </w:pPr>
            <w:r>
              <w:rPr>
                <w:rFonts w:hint="eastAsia" w:ascii="仿宋" w:hAnsi="仿宋" w:eastAsia="仿宋" w:cs="仿宋"/>
                <w:color w:val="000000"/>
                <w:sz w:val="28"/>
                <w:szCs w:val="28"/>
              </w:rPr>
              <w:t>注：提供有效证明材料复印件并加盖供应商公章。</w:t>
            </w:r>
          </w:p>
        </w:tc>
        <w:tc>
          <w:tcPr>
            <w:tcW w:w="1020"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33169A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6</w:t>
            </w:r>
          </w:p>
        </w:tc>
      </w:tr>
      <w:tr w14:paraId="052D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8" w:hRule="atLeast"/>
        </w:trPr>
        <w:tc>
          <w:tcPr>
            <w:tcW w:w="939"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114C69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4</w:t>
            </w:r>
          </w:p>
        </w:tc>
        <w:tc>
          <w:tcPr>
            <w:tcW w:w="1444"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03D89D1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类似项目</w:t>
            </w:r>
          </w:p>
          <w:p w14:paraId="05D8030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业绩</w:t>
            </w:r>
          </w:p>
        </w:tc>
        <w:tc>
          <w:tcPr>
            <w:tcW w:w="5701"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3EE1FA3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sz w:val="28"/>
                <w:szCs w:val="28"/>
              </w:rPr>
            </w:pPr>
            <w:r>
              <w:rPr>
                <w:rFonts w:hint="eastAsia" w:ascii="仿宋" w:hAnsi="仿宋" w:eastAsia="仿宋" w:cs="仿宋"/>
                <w:color w:val="000000"/>
                <w:sz w:val="28"/>
                <w:szCs w:val="28"/>
              </w:rPr>
              <w:t>企业有</w:t>
            </w:r>
            <w:r>
              <w:rPr>
                <w:rFonts w:hint="eastAsia" w:ascii="仿宋" w:hAnsi="仿宋" w:eastAsia="仿宋" w:cs="仿宋"/>
                <w:color w:val="000000"/>
                <w:sz w:val="28"/>
                <w:szCs w:val="28"/>
                <w:lang w:eastAsia="zh-CN"/>
              </w:rPr>
              <w:t>类似</w:t>
            </w:r>
            <w:r>
              <w:rPr>
                <w:rFonts w:hint="eastAsia" w:ascii="仿宋" w:hAnsi="仿宋" w:eastAsia="仿宋" w:cs="仿宋"/>
                <w:color w:val="000000"/>
                <w:sz w:val="28"/>
                <w:szCs w:val="28"/>
              </w:rPr>
              <w:t>招标业绩的每一项得2分，最多得10分，不提供则不得分。</w:t>
            </w:r>
          </w:p>
          <w:p w14:paraId="76E9283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sz w:val="28"/>
                <w:szCs w:val="28"/>
              </w:rPr>
            </w:pPr>
            <w:r>
              <w:rPr>
                <w:rFonts w:hint="eastAsia" w:ascii="仿宋" w:hAnsi="仿宋" w:eastAsia="仿宋" w:cs="仿宋"/>
                <w:color w:val="000000"/>
                <w:sz w:val="28"/>
                <w:szCs w:val="28"/>
              </w:rPr>
              <w:t>备注：以上业绩需提供加盖公章的代理协议。时间为202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年1月1日至比选前。</w:t>
            </w:r>
          </w:p>
        </w:tc>
        <w:tc>
          <w:tcPr>
            <w:tcW w:w="1020"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41327BA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10</w:t>
            </w:r>
          </w:p>
        </w:tc>
      </w:tr>
      <w:tr w14:paraId="2943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6" w:hRule="atLeast"/>
        </w:trPr>
        <w:tc>
          <w:tcPr>
            <w:tcW w:w="939"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37F28D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5</w:t>
            </w:r>
          </w:p>
        </w:tc>
        <w:tc>
          <w:tcPr>
            <w:tcW w:w="1444"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36F735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管理制度</w:t>
            </w:r>
          </w:p>
        </w:tc>
        <w:tc>
          <w:tcPr>
            <w:tcW w:w="5701"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36BF88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sz w:val="28"/>
                <w:szCs w:val="28"/>
              </w:rPr>
            </w:pPr>
            <w:r>
              <w:rPr>
                <w:rFonts w:hint="eastAsia" w:ascii="仿宋" w:hAnsi="仿宋" w:eastAsia="仿宋" w:cs="仿宋"/>
                <w:color w:val="000000"/>
                <w:sz w:val="28"/>
                <w:szCs w:val="28"/>
              </w:rPr>
              <w:t>提供企业的管理制度：内控制度、档案管理制度、财务制度。每提供一项得2分，最多得6分。以上每一项中每有1处存在内容缺失扣2分，每一项关于内容缺陷最多扣1分。【内容缺陷是指：存在不适用项目实际情况的情形（与项目实际不匹配、不符合项目特点）、内容简单、可行性低以及不可能实现的夸大情形等】，扣完为止。</w:t>
            </w:r>
          </w:p>
        </w:tc>
        <w:tc>
          <w:tcPr>
            <w:tcW w:w="1020"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3B7F92E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6</w:t>
            </w:r>
          </w:p>
        </w:tc>
      </w:tr>
      <w:tr w14:paraId="30D6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0" w:hRule="atLeast"/>
        </w:trPr>
        <w:tc>
          <w:tcPr>
            <w:tcW w:w="939"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556F12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6</w:t>
            </w:r>
          </w:p>
        </w:tc>
        <w:tc>
          <w:tcPr>
            <w:tcW w:w="1444"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470096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基础设施</w:t>
            </w:r>
          </w:p>
        </w:tc>
        <w:tc>
          <w:tcPr>
            <w:tcW w:w="5701"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7C62326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color w:val="000000"/>
                <w:sz w:val="28"/>
                <w:szCs w:val="28"/>
              </w:rPr>
              <w:t>1、设有独立的会议室的得2分，需提供会议室照片，不提供则不得分；</w:t>
            </w:r>
          </w:p>
          <w:p w14:paraId="0259BE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sz w:val="28"/>
                <w:szCs w:val="28"/>
              </w:rPr>
            </w:pPr>
            <w:r>
              <w:rPr>
                <w:rFonts w:hint="eastAsia" w:ascii="仿宋" w:hAnsi="仿宋" w:eastAsia="仿宋" w:cs="仿宋"/>
                <w:color w:val="000000"/>
                <w:sz w:val="28"/>
                <w:szCs w:val="28"/>
              </w:rPr>
              <w:t>2、会议室有双路监控设施的得2分，需提供两路视频监控照片，不提供则不得分。</w:t>
            </w:r>
          </w:p>
        </w:tc>
        <w:tc>
          <w:tcPr>
            <w:tcW w:w="1020"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5AB84CA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4</w:t>
            </w:r>
          </w:p>
        </w:tc>
      </w:tr>
      <w:tr w14:paraId="3F2D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939" w:type="dxa"/>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09107A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总分</w:t>
            </w:r>
          </w:p>
        </w:tc>
        <w:tc>
          <w:tcPr>
            <w:tcW w:w="8165" w:type="dxa"/>
            <w:gridSpan w:val="3"/>
            <w:tcBorders>
              <w:top w:val="nil"/>
              <w:left w:val="single" w:color="auto" w:sz="8" w:space="0"/>
              <w:bottom w:val="single" w:color="auto" w:sz="8" w:space="0"/>
              <w:right w:val="single" w:color="auto" w:sz="8" w:space="0"/>
            </w:tcBorders>
            <w:tcMar>
              <w:top w:w="28" w:type="dxa"/>
              <w:left w:w="108" w:type="dxa"/>
              <w:bottom w:w="28" w:type="dxa"/>
              <w:right w:w="108" w:type="dxa"/>
            </w:tcMar>
            <w:vAlign w:val="center"/>
          </w:tcPr>
          <w:p w14:paraId="68CBF98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shd w:val="clear" w:color="auto" w:fill="FFFFFF"/>
              </w:rPr>
              <w:t>100分</w:t>
            </w:r>
          </w:p>
        </w:tc>
      </w:tr>
    </w:tbl>
    <w:p w14:paraId="1E34A43F"/>
    <w:p w14:paraId="0807455B">
      <w:pPr>
        <w:rPr>
          <w:rFonts w:hint="default"/>
          <w:lang w:val="en-US" w:eastAsia="zh-CN"/>
        </w:rPr>
      </w:pPr>
    </w:p>
    <w:p w14:paraId="4825ED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535C0"/>
    <w:multiLevelType w:val="multilevel"/>
    <w:tmpl w:val="813535C0"/>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1">
    <w:nsid w:val="FBBDDBDD"/>
    <w:multiLevelType w:val="singleLevel"/>
    <w:tmpl w:val="FBBDDBD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72BA7"/>
    <w:rsid w:val="02917958"/>
    <w:rsid w:val="075F1780"/>
    <w:rsid w:val="077D67E3"/>
    <w:rsid w:val="08124595"/>
    <w:rsid w:val="08ED512C"/>
    <w:rsid w:val="094852AB"/>
    <w:rsid w:val="0EB60596"/>
    <w:rsid w:val="130046B8"/>
    <w:rsid w:val="13AD0903"/>
    <w:rsid w:val="1426657F"/>
    <w:rsid w:val="14355008"/>
    <w:rsid w:val="196F7279"/>
    <w:rsid w:val="1B524A5A"/>
    <w:rsid w:val="1E3E5127"/>
    <w:rsid w:val="1F7560F0"/>
    <w:rsid w:val="22D54A03"/>
    <w:rsid w:val="23F86C88"/>
    <w:rsid w:val="240A5001"/>
    <w:rsid w:val="2738423C"/>
    <w:rsid w:val="274F375A"/>
    <w:rsid w:val="285E612F"/>
    <w:rsid w:val="29196AA1"/>
    <w:rsid w:val="296A0B11"/>
    <w:rsid w:val="2AA07E80"/>
    <w:rsid w:val="2CE55F6D"/>
    <w:rsid w:val="2EBB49EE"/>
    <w:rsid w:val="2FBE7AFB"/>
    <w:rsid w:val="301D6BAD"/>
    <w:rsid w:val="340B74B4"/>
    <w:rsid w:val="369A234C"/>
    <w:rsid w:val="3C4C173C"/>
    <w:rsid w:val="3C525089"/>
    <w:rsid w:val="3C7930E0"/>
    <w:rsid w:val="3CEB2A17"/>
    <w:rsid w:val="3CF06942"/>
    <w:rsid w:val="3E4A678D"/>
    <w:rsid w:val="40EC1096"/>
    <w:rsid w:val="413E755D"/>
    <w:rsid w:val="459C7A87"/>
    <w:rsid w:val="461D72AB"/>
    <w:rsid w:val="461D7DF4"/>
    <w:rsid w:val="46EC286E"/>
    <w:rsid w:val="479A08A7"/>
    <w:rsid w:val="4AF045C2"/>
    <w:rsid w:val="4E177BCF"/>
    <w:rsid w:val="516F3C86"/>
    <w:rsid w:val="55093DAF"/>
    <w:rsid w:val="55B72BA7"/>
    <w:rsid w:val="575A6FC3"/>
    <w:rsid w:val="599729F5"/>
    <w:rsid w:val="5B2132CD"/>
    <w:rsid w:val="5B6E7605"/>
    <w:rsid w:val="5BA97BF4"/>
    <w:rsid w:val="5C1D5CD1"/>
    <w:rsid w:val="5DB61ABF"/>
    <w:rsid w:val="5F79574A"/>
    <w:rsid w:val="61290E80"/>
    <w:rsid w:val="63633634"/>
    <w:rsid w:val="63E57A79"/>
    <w:rsid w:val="67ED1A09"/>
    <w:rsid w:val="696A14FE"/>
    <w:rsid w:val="69AB1EB2"/>
    <w:rsid w:val="6A982774"/>
    <w:rsid w:val="6F0A192B"/>
    <w:rsid w:val="6FED0016"/>
    <w:rsid w:val="71FA7C7A"/>
    <w:rsid w:val="72093E80"/>
    <w:rsid w:val="7AB04FA3"/>
    <w:rsid w:val="7ADB1034"/>
    <w:rsid w:val="7E6A0104"/>
    <w:rsid w:val="7F165A29"/>
    <w:rsid w:val="7FE7182D"/>
    <w:rsid w:val="7FF3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20"/>
    <w:qFormat/>
    <w:uiPriority w:val="0"/>
    <w:pPr>
      <w:keepNext/>
      <w:keepLines/>
      <w:numPr>
        <w:ilvl w:val="0"/>
        <w:numId w:val="1"/>
      </w:numPr>
      <w:tabs>
        <w:tab w:val="left" w:pos="0"/>
      </w:tabs>
      <w:spacing w:before="50" w:beforeLines="50" w:line="288" w:lineRule="auto"/>
      <w:ind w:left="425" w:hanging="425"/>
      <w:jc w:val="center"/>
      <w:outlineLvl w:val="0"/>
    </w:pPr>
    <w:rPr>
      <w:rFonts w:ascii="Arial" w:hAnsi="Arial" w:eastAsia="微软雅黑" w:cstheme="minorBidi"/>
      <w:b/>
      <w:bCs/>
      <w:kern w:val="44"/>
      <w:sz w:val="44"/>
    </w:rPr>
  </w:style>
  <w:style w:type="paragraph" w:styleId="3">
    <w:name w:val="heading 2"/>
    <w:basedOn w:val="1"/>
    <w:next w:val="1"/>
    <w:link w:val="21"/>
    <w:semiHidden/>
    <w:unhideWhenUsed/>
    <w:qFormat/>
    <w:uiPriority w:val="0"/>
    <w:pPr>
      <w:numPr>
        <w:ilvl w:val="1"/>
        <w:numId w:val="1"/>
      </w:numPr>
      <w:tabs>
        <w:tab w:val="left" w:pos="0"/>
      </w:tabs>
      <w:ind w:left="567" w:hanging="567" w:firstLineChars="0"/>
      <w:outlineLvl w:val="1"/>
    </w:pPr>
    <w:rPr>
      <w:rFonts w:ascii="Arial" w:hAnsi="Arial"/>
      <w:b/>
      <w:sz w:val="32"/>
    </w:rPr>
  </w:style>
  <w:style w:type="paragraph" w:styleId="4">
    <w:name w:val="heading 3"/>
    <w:basedOn w:val="1"/>
    <w:next w:val="1"/>
    <w:link w:val="22"/>
    <w:semiHidden/>
    <w:unhideWhenUsed/>
    <w:qFormat/>
    <w:uiPriority w:val="0"/>
    <w:pPr>
      <w:numPr>
        <w:ilvl w:val="2"/>
        <w:numId w:val="1"/>
      </w:numPr>
      <w:tabs>
        <w:tab w:val="left" w:pos="312"/>
      </w:tabs>
      <w:ind w:left="709" w:hanging="709" w:firstLineChars="0"/>
      <w:outlineLvl w:val="2"/>
    </w:pPr>
    <w:rPr>
      <w:rFonts w:ascii="Arial" w:hAnsi="Arial"/>
      <w:b/>
      <w:sz w:val="30"/>
      <w:szCs w:val="30"/>
    </w:rPr>
  </w:style>
  <w:style w:type="paragraph" w:styleId="5">
    <w:name w:val="heading 4"/>
    <w:basedOn w:val="1"/>
    <w:next w:val="1"/>
    <w:semiHidden/>
    <w:unhideWhenUsed/>
    <w:qFormat/>
    <w:uiPriority w:val="0"/>
    <w:pPr>
      <w:numPr>
        <w:ilvl w:val="3"/>
        <w:numId w:val="1"/>
      </w:numPr>
      <w:ind w:left="850" w:hanging="850" w:firstLineChars="0"/>
      <w:outlineLvl w:val="3"/>
    </w:pPr>
    <w:rPr>
      <w:rFonts w:ascii="Arial" w:hAnsi="Arial"/>
      <w:b/>
      <w:sz w:val="28"/>
    </w:rPr>
  </w:style>
  <w:style w:type="paragraph" w:styleId="6">
    <w:name w:val="heading 5"/>
    <w:basedOn w:val="1"/>
    <w:next w:val="1"/>
    <w:semiHidden/>
    <w:unhideWhenUsed/>
    <w:qFormat/>
    <w:uiPriority w:val="0"/>
    <w:pPr>
      <w:numPr>
        <w:ilvl w:val="4"/>
        <w:numId w:val="1"/>
      </w:numPr>
      <w:tabs>
        <w:tab w:val="left" w:pos="312"/>
      </w:tabs>
      <w:ind w:left="0" w:hanging="991"/>
      <w:outlineLvl w:val="4"/>
    </w:pPr>
    <w:rPr>
      <w:rFonts w:ascii="Arial" w:hAnsi="Arial"/>
      <w:b/>
      <w:sz w:val="24"/>
      <w:szCs w:val="22"/>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firstLineChars="0"/>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spacing w:line="360" w:lineRule="auto"/>
      <w:ind w:left="960" w:leftChars="400" w:firstLine="0" w:firstLineChars="0"/>
      <w:jc w:val="both"/>
    </w:pPr>
    <w:rPr>
      <w:szCs w:val="24"/>
    </w:rPr>
  </w:style>
  <w:style w:type="paragraph" w:styleId="13">
    <w:name w:val="toc 1"/>
    <w:basedOn w:val="1"/>
    <w:next w:val="1"/>
    <w:qFormat/>
    <w:uiPriority w:val="0"/>
    <w:pPr>
      <w:spacing w:line="360" w:lineRule="auto"/>
      <w:ind w:right="0" w:firstLine="0" w:firstLineChars="0"/>
      <w:jc w:val="both"/>
    </w:pPr>
    <w:rPr>
      <w:rFonts w:ascii="Times New Roman" w:hAnsi="Times New Roman" w:eastAsia="仿宋" w:cs="Times New Roman"/>
      <w:b/>
      <w:sz w:val="24"/>
    </w:rPr>
  </w:style>
  <w:style w:type="paragraph" w:styleId="14">
    <w:name w:val="toc 2"/>
    <w:basedOn w:val="1"/>
    <w:next w:val="1"/>
    <w:qFormat/>
    <w:uiPriority w:val="0"/>
    <w:pPr>
      <w:spacing w:line="360" w:lineRule="auto"/>
      <w:ind w:left="480" w:leftChars="200" w:firstLine="0" w:firstLineChars="0"/>
      <w:jc w:val="both"/>
    </w:pPr>
    <w:rPr>
      <w:rFonts w:ascii="Times New Roman" w:hAnsi="Times New Roman" w:cs="Times New Roman"/>
      <w:szCs w:val="24"/>
    </w:rPr>
  </w:style>
  <w:style w:type="paragraph" w:styleId="15">
    <w:name w:val="Body Text 2"/>
    <w:basedOn w:val="1"/>
    <w:qFormat/>
    <w:uiPriority w:val="0"/>
    <w:pPr>
      <w:spacing w:after="120" w:afterLines="0" w:afterAutospacing="0" w:line="480" w:lineRule="auto"/>
    </w:pPr>
  </w:style>
  <w:style w:type="paragraph" w:styleId="16">
    <w:name w:val="HTML Preformatted"/>
    <w:basedOn w:val="1"/>
    <w:qFormat/>
    <w:uiPriority w:val="0"/>
    <w:rPr>
      <w:rFonts w:ascii="Courier New" w:hAnsi="Courier New"/>
      <w:sz w:val="20"/>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20">
    <w:name w:val="标题 1 Char"/>
    <w:link w:val="2"/>
    <w:qFormat/>
    <w:uiPriority w:val="0"/>
    <w:rPr>
      <w:rFonts w:ascii="Arial" w:hAnsi="Arial" w:eastAsia="微软雅黑" w:cstheme="minorBidi"/>
      <w:b/>
      <w:bCs/>
      <w:kern w:val="44"/>
      <w:sz w:val="44"/>
    </w:rPr>
  </w:style>
  <w:style w:type="character" w:customStyle="1" w:styleId="21">
    <w:name w:val="Heading 2 Char"/>
    <w:link w:val="3"/>
    <w:semiHidden/>
    <w:qFormat/>
    <w:uiPriority w:val="9"/>
    <w:rPr>
      <w:rFonts w:ascii="Arial" w:hAnsi="Arial" w:eastAsia="微软雅黑" w:cstheme="minorBidi"/>
      <w:b/>
      <w:kern w:val="2"/>
      <w:sz w:val="32"/>
    </w:rPr>
  </w:style>
  <w:style w:type="character" w:customStyle="1" w:styleId="22">
    <w:name w:val="Heading 3 Char"/>
    <w:link w:val="4"/>
    <w:semiHidden/>
    <w:qFormat/>
    <w:uiPriority w:val="9"/>
    <w:rPr>
      <w:rFonts w:ascii="Arial" w:hAnsi="Arial" w:eastAsia="微软雅黑" w:cstheme="minorBidi"/>
      <w:b/>
      <w:kern w:val="2"/>
      <w:sz w:val="30"/>
      <w:szCs w:val="30"/>
    </w:rPr>
  </w:style>
  <w:style w:type="paragraph" w:customStyle="1" w:styleId="23">
    <w:name w:val="正文不缩进"/>
    <w:basedOn w:val="1"/>
    <w:qFormat/>
    <w:uiPriority w:val="0"/>
    <w:pPr>
      <w:ind w:firstLine="0" w:firstLineChars="0"/>
    </w:pPr>
    <w:rPr>
      <w:rFonts w:hint="eastAsia" w:ascii="微软雅黑" w:hAnsi="微软雅黑" w:cs="微软雅黑"/>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2026-03-09T08:20:00Z</dcterms:created>
  <dc:creator>Nn</dc:creator>
  <cp:lastModifiedBy>Nn</cp:lastModifiedBy>
  <dcterms:modified xsi:type="dcterms:W3CDTF">2026-03-09T08:20:53Z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CC870029CA344294B3CDB6FCC2D2E0C0_11</vt:lpwstr>
  </property>
  <property fmtid="{D5CDD505-2E9C-101B-9397-08002B2CF9AE}" pid="4" name="KSOTemplateDocerSaveRecord">
    <vt:lpwstr>eyJoZGlkIjoiM2VlMWMzYmM5YWVkYzU1Y2JmMDNmNjA3MWRiNzM0MGUiLCJ1c2VySWQiOiI2MjEzNjc1NTcifQ==</vt:lpwstr>
  </property>
</Properties>
</file>